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D" w:rsidRDefault="00FC6FDE">
      <w:pPr>
        <w:rPr>
          <w:sz w:val="22"/>
          <w:szCs w:val="22"/>
        </w:rPr>
      </w:pPr>
      <w:bookmarkStart w:id="0" w:name="_GoBack"/>
      <w:bookmarkEnd w:id="0"/>
      <w:r>
        <w:rPr>
          <w:noProof/>
          <w:lang w:val="es-419" w:eastAsia="es-419"/>
        </w:rPr>
        <w:drawing>
          <wp:anchor distT="0" distB="0" distL="114300" distR="114300" simplePos="0" relativeHeight="251660288" behindDoc="0" locked="0" layoutInCell="1" allowOverlap="1">
            <wp:simplePos x="0" y="0"/>
            <wp:positionH relativeFrom="margin">
              <wp:posOffset>3030220</wp:posOffset>
            </wp:positionH>
            <wp:positionV relativeFrom="paragraph">
              <wp:posOffset>0</wp:posOffset>
            </wp:positionV>
            <wp:extent cx="2966085" cy="838200"/>
            <wp:effectExtent l="0" t="0" r="5715"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966085" cy="838200"/>
                    </a:xfrm>
                    <a:prstGeom prst="rect">
                      <a:avLst/>
                    </a:prstGeom>
                  </pic:spPr>
                </pic:pic>
              </a:graphicData>
            </a:graphic>
            <wp14:sizeRelH relativeFrom="margin">
              <wp14:pctWidth>0</wp14:pctWidth>
            </wp14:sizeRelH>
            <wp14:sizeRelV relativeFrom="margin">
              <wp14:pctHeight>0</wp14:pctHeight>
            </wp14:sizeRelV>
          </wp:anchor>
        </w:drawing>
      </w:r>
    </w:p>
    <w:p w:rsidR="00280A85" w:rsidRDefault="00280A85">
      <w:pPr>
        <w:pBdr>
          <w:top w:val="nil"/>
          <w:left w:val="nil"/>
          <w:bottom w:val="nil"/>
          <w:right w:val="nil"/>
          <w:between w:val="nil"/>
        </w:pBdr>
        <w:jc w:val="center"/>
        <w:rPr>
          <w:b/>
          <w:sz w:val="22"/>
          <w:szCs w:val="22"/>
        </w:rPr>
      </w:pPr>
    </w:p>
    <w:p w:rsidR="0051056D" w:rsidRDefault="00523867">
      <w:pPr>
        <w:pBdr>
          <w:top w:val="nil"/>
          <w:left w:val="nil"/>
          <w:bottom w:val="nil"/>
          <w:right w:val="nil"/>
          <w:between w:val="nil"/>
        </w:pBdr>
        <w:jc w:val="center"/>
        <w:rPr>
          <w:b/>
          <w:sz w:val="22"/>
          <w:szCs w:val="22"/>
        </w:rPr>
      </w:pPr>
      <w:r>
        <w:rPr>
          <w:b/>
          <w:sz w:val="22"/>
          <w:szCs w:val="22"/>
        </w:rPr>
        <w:t>MEMORANDO</w:t>
      </w:r>
    </w:p>
    <w:p w:rsidR="0051056D" w:rsidRDefault="0051056D">
      <w:pPr>
        <w:pBdr>
          <w:top w:val="nil"/>
          <w:left w:val="nil"/>
          <w:bottom w:val="nil"/>
          <w:right w:val="nil"/>
          <w:between w:val="nil"/>
        </w:pBdr>
        <w:jc w:val="center"/>
        <w:rPr>
          <w:b/>
          <w:sz w:val="22"/>
          <w:szCs w:val="22"/>
        </w:rPr>
      </w:pPr>
    </w:p>
    <w:p w:rsidR="0051056D" w:rsidRDefault="0051056D">
      <w:pPr>
        <w:pBdr>
          <w:top w:val="nil"/>
          <w:left w:val="nil"/>
          <w:bottom w:val="nil"/>
          <w:right w:val="nil"/>
          <w:between w:val="nil"/>
        </w:pBdr>
        <w:jc w:val="center"/>
        <w:rPr>
          <w:b/>
          <w:sz w:val="22"/>
          <w:szCs w:val="22"/>
        </w:rPr>
      </w:pPr>
    </w:p>
    <w:p w:rsidR="0051056D" w:rsidRDefault="00523867">
      <w:pPr>
        <w:pBdr>
          <w:top w:val="nil"/>
          <w:left w:val="nil"/>
          <w:bottom w:val="nil"/>
          <w:right w:val="nil"/>
          <w:between w:val="nil"/>
        </w:pBdr>
        <w:rPr>
          <w:b/>
          <w:sz w:val="22"/>
          <w:szCs w:val="22"/>
        </w:rPr>
      </w:pPr>
      <w:r>
        <w:rPr>
          <w:b/>
          <w:sz w:val="22"/>
          <w:szCs w:val="22"/>
        </w:rPr>
        <w:t>PARA:</w:t>
      </w:r>
      <w:r>
        <w:rPr>
          <w:sz w:val="22"/>
          <w:szCs w:val="22"/>
        </w:rPr>
        <w:t xml:space="preserve"> </w:t>
      </w:r>
      <w:r>
        <w:rPr>
          <w:sz w:val="22"/>
          <w:szCs w:val="22"/>
        </w:rPr>
        <w:tab/>
      </w:r>
      <w:r>
        <w:rPr>
          <w:b/>
          <w:sz w:val="22"/>
          <w:szCs w:val="22"/>
        </w:rPr>
        <w:t>DAVID ANTONIO GARZÓN FANDIÑO</w:t>
      </w:r>
    </w:p>
    <w:p w:rsidR="0051056D" w:rsidRDefault="00523867">
      <w:pPr>
        <w:pBdr>
          <w:top w:val="nil"/>
          <w:left w:val="nil"/>
          <w:bottom w:val="nil"/>
          <w:right w:val="nil"/>
          <w:between w:val="nil"/>
        </w:pBdr>
        <w:ind w:left="1418"/>
        <w:rPr>
          <w:sz w:val="22"/>
          <w:szCs w:val="22"/>
        </w:rPr>
      </w:pPr>
      <w:r>
        <w:rPr>
          <w:sz w:val="22"/>
          <w:szCs w:val="22"/>
        </w:rPr>
        <w:t xml:space="preserve">Subsecretario de Despacho Comisión Segunda Permanente de Gobierno </w:t>
      </w:r>
    </w:p>
    <w:p w:rsidR="0051056D" w:rsidRDefault="0051056D">
      <w:pPr>
        <w:pBdr>
          <w:top w:val="nil"/>
          <w:left w:val="nil"/>
          <w:bottom w:val="nil"/>
          <w:right w:val="nil"/>
          <w:between w:val="nil"/>
        </w:pBdr>
        <w:ind w:left="1418"/>
        <w:rPr>
          <w:sz w:val="22"/>
          <w:szCs w:val="22"/>
        </w:rPr>
      </w:pPr>
    </w:p>
    <w:p w:rsidR="0051056D" w:rsidRDefault="00523867">
      <w:pPr>
        <w:pBdr>
          <w:top w:val="nil"/>
          <w:left w:val="nil"/>
          <w:bottom w:val="nil"/>
          <w:right w:val="nil"/>
          <w:between w:val="nil"/>
        </w:pBdr>
        <w:rPr>
          <w:sz w:val="22"/>
          <w:szCs w:val="22"/>
        </w:rPr>
      </w:pPr>
      <w:r>
        <w:rPr>
          <w:b/>
          <w:sz w:val="22"/>
          <w:szCs w:val="22"/>
        </w:rPr>
        <w:t>DE:</w:t>
      </w:r>
      <w:r>
        <w:rPr>
          <w:sz w:val="22"/>
          <w:szCs w:val="22"/>
        </w:rPr>
        <w:tab/>
      </w:r>
      <w:r>
        <w:rPr>
          <w:sz w:val="22"/>
          <w:szCs w:val="22"/>
        </w:rPr>
        <w:tab/>
        <w:t>H. C. Germán Augusto García Maya (Coordinador)</w:t>
      </w:r>
    </w:p>
    <w:p w:rsidR="0051056D" w:rsidRDefault="0051056D">
      <w:pPr>
        <w:pBdr>
          <w:top w:val="nil"/>
          <w:left w:val="nil"/>
          <w:bottom w:val="nil"/>
          <w:right w:val="nil"/>
          <w:between w:val="nil"/>
        </w:pBdr>
        <w:rPr>
          <w:sz w:val="22"/>
          <w:szCs w:val="22"/>
        </w:rPr>
      </w:pPr>
    </w:p>
    <w:p w:rsidR="0051056D" w:rsidRDefault="00523867">
      <w:pPr>
        <w:pBdr>
          <w:top w:val="nil"/>
          <w:left w:val="nil"/>
          <w:bottom w:val="nil"/>
          <w:right w:val="nil"/>
          <w:between w:val="nil"/>
        </w:pBdr>
        <w:ind w:left="1418" w:hanging="1418"/>
        <w:rPr>
          <w:sz w:val="22"/>
          <w:szCs w:val="22"/>
        </w:rPr>
      </w:pPr>
      <w:bookmarkStart w:id="1" w:name="_heading=h.30j0zll" w:colFirst="0" w:colLast="0"/>
      <w:bookmarkEnd w:id="1"/>
      <w:r>
        <w:rPr>
          <w:b/>
          <w:sz w:val="22"/>
          <w:szCs w:val="22"/>
        </w:rPr>
        <w:t>ASUNTO:</w:t>
      </w:r>
      <w:r>
        <w:rPr>
          <w:sz w:val="22"/>
          <w:szCs w:val="22"/>
        </w:rPr>
        <w:t xml:space="preserve"> </w:t>
      </w:r>
      <w:r>
        <w:rPr>
          <w:sz w:val="22"/>
          <w:szCs w:val="22"/>
        </w:rPr>
        <w:tab/>
        <w:t xml:space="preserve">Ponencia </w:t>
      </w:r>
      <w:r>
        <w:rPr>
          <w:b/>
          <w:sz w:val="22"/>
          <w:szCs w:val="22"/>
        </w:rPr>
        <w:t xml:space="preserve">Positiva </w:t>
      </w:r>
      <w:r>
        <w:rPr>
          <w:sz w:val="22"/>
          <w:szCs w:val="22"/>
        </w:rPr>
        <w:t>para primer debate del Proyecto de Acuerdo No. 192 de 2025.</w:t>
      </w:r>
    </w:p>
    <w:p w:rsidR="0051056D" w:rsidRDefault="0051056D">
      <w:pPr>
        <w:pBdr>
          <w:top w:val="nil"/>
          <w:left w:val="nil"/>
          <w:bottom w:val="nil"/>
          <w:right w:val="nil"/>
          <w:between w:val="nil"/>
        </w:pBdr>
        <w:jc w:val="both"/>
        <w:rPr>
          <w:sz w:val="22"/>
          <w:szCs w:val="22"/>
        </w:rPr>
      </w:pPr>
    </w:p>
    <w:p w:rsidR="00280A85" w:rsidRDefault="00280A85">
      <w:pPr>
        <w:pBdr>
          <w:top w:val="nil"/>
          <w:left w:val="nil"/>
          <w:bottom w:val="nil"/>
          <w:right w:val="nil"/>
          <w:between w:val="nil"/>
        </w:pBdr>
        <w:jc w:val="both"/>
        <w:rPr>
          <w:sz w:val="22"/>
          <w:szCs w:val="22"/>
        </w:rPr>
      </w:pPr>
    </w:p>
    <w:p w:rsidR="0051056D" w:rsidRDefault="00523867">
      <w:pPr>
        <w:pBdr>
          <w:top w:val="nil"/>
          <w:left w:val="nil"/>
          <w:bottom w:val="nil"/>
          <w:right w:val="nil"/>
          <w:between w:val="nil"/>
        </w:pBdr>
        <w:jc w:val="both"/>
        <w:rPr>
          <w:sz w:val="22"/>
          <w:szCs w:val="22"/>
        </w:rPr>
      </w:pPr>
      <w:r>
        <w:rPr>
          <w:sz w:val="22"/>
          <w:szCs w:val="22"/>
        </w:rPr>
        <w:t>Cordial saludo</w:t>
      </w:r>
    </w:p>
    <w:p w:rsidR="0051056D" w:rsidRDefault="0051056D">
      <w:pPr>
        <w:pBdr>
          <w:top w:val="nil"/>
          <w:left w:val="nil"/>
          <w:bottom w:val="nil"/>
          <w:right w:val="nil"/>
          <w:between w:val="nil"/>
        </w:pBdr>
        <w:jc w:val="both"/>
        <w:rPr>
          <w:sz w:val="22"/>
          <w:szCs w:val="22"/>
        </w:rPr>
      </w:pPr>
    </w:p>
    <w:p w:rsidR="0051056D" w:rsidRDefault="00523867">
      <w:pPr>
        <w:jc w:val="both"/>
        <w:rPr>
          <w:sz w:val="22"/>
          <w:szCs w:val="22"/>
        </w:rPr>
      </w:pPr>
      <w:r>
        <w:rPr>
          <w:sz w:val="22"/>
          <w:szCs w:val="22"/>
        </w:rPr>
        <w:t xml:space="preserve">En atención a la designación efectuada, derivada del sorteo realizado el pasado 28 de enero de 2025 con CORDIS N. 2025IE1923 y encontrándome dentro del término legal, me permito rendir PONENCIA POSITIVA para Primer Debate del Proyecto de Acuerdo No. 192 de 2025 </w:t>
      </w:r>
      <w:r>
        <w:rPr>
          <w:b/>
          <w:i/>
          <w:sz w:val="22"/>
          <w:szCs w:val="22"/>
        </w:rPr>
        <w:t>“POR MEDIO DEL CUAL SE CREA LA RUTA DE ATENCIÓN INTEGRAL PARA MUJERES HABITANTES DE LA CALLE EN EL DISTRITO CAPITAL Y SE DICTAN OTRAS DISPOSICIONES”</w:t>
      </w:r>
      <w:r>
        <w:rPr>
          <w:sz w:val="22"/>
          <w:szCs w:val="22"/>
        </w:rPr>
        <w:t xml:space="preserve"> de autoría del Honorable Concejal Andrés García Vargas.</w:t>
      </w:r>
    </w:p>
    <w:p w:rsidR="0051056D" w:rsidRDefault="0051056D">
      <w:pPr>
        <w:pBdr>
          <w:top w:val="nil"/>
          <w:left w:val="nil"/>
          <w:bottom w:val="nil"/>
          <w:right w:val="nil"/>
          <w:between w:val="nil"/>
        </w:pBdr>
        <w:spacing w:line="276" w:lineRule="auto"/>
        <w:jc w:val="both"/>
        <w:rPr>
          <w:sz w:val="22"/>
          <w:szCs w:val="22"/>
        </w:rPr>
      </w:pP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23867">
      <w:pPr>
        <w:rPr>
          <w:sz w:val="22"/>
          <w:szCs w:val="22"/>
        </w:rPr>
      </w:pPr>
      <w:r>
        <w:rPr>
          <w:sz w:val="22"/>
          <w:szCs w:val="22"/>
        </w:rPr>
        <w:t xml:space="preserve">Atentamente, </w:t>
      </w: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23867">
      <w:pPr>
        <w:rPr>
          <w:b/>
          <w:sz w:val="22"/>
          <w:szCs w:val="22"/>
        </w:rPr>
      </w:pPr>
      <w:r>
        <w:rPr>
          <w:noProof/>
          <w:lang w:val="es-419" w:eastAsia="es-419"/>
        </w:rPr>
        <mc:AlternateContent>
          <mc:Choice Requires="wps">
            <w:drawing>
              <wp:anchor distT="0" distB="0" distL="114300" distR="114300" simplePos="0" relativeHeight="251658240" behindDoc="0" locked="0" layoutInCell="1" hidden="0" allowOverlap="1">
                <wp:simplePos x="0" y="0"/>
                <wp:positionH relativeFrom="column">
                  <wp:posOffset>1</wp:posOffset>
                </wp:positionH>
                <wp:positionV relativeFrom="paragraph">
                  <wp:posOffset>127000</wp:posOffset>
                </wp:positionV>
                <wp:extent cx="9525" cy="12700"/>
                <wp:effectExtent l="0" t="0" r="0" b="0"/>
                <wp:wrapNone/>
                <wp:docPr id="12" name="Conector recto de flecha 12"/>
                <wp:cNvGraphicFramePr/>
                <a:graphic xmlns:a="http://schemas.openxmlformats.org/drawingml/2006/main">
                  <a:graphicData uri="http://schemas.microsoft.com/office/word/2010/wordprocessingShape">
                    <wps:wsp>
                      <wps:cNvCnPr/>
                      <wps:spPr>
                        <a:xfrm>
                          <a:off x="4141088" y="3775238"/>
                          <a:ext cx="240982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1="http://schemas.microsoft.com/office/drawing/2015/9/8/chartex"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127000</wp:posOffset>
                </wp:positionV>
                <wp:extent cx="9525" cy="12700"/>
                <wp:effectExtent b="0" l="0" r="0" t="0"/>
                <wp:wrapNone/>
                <wp:docPr id="1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Pr>
          <w:b/>
          <w:sz w:val="22"/>
          <w:szCs w:val="22"/>
        </w:rPr>
        <w:t xml:space="preserve">GERMAN AUGUSTO GARCIA MAYA                           </w:t>
      </w:r>
    </w:p>
    <w:p w:rsidR="0051056D" w:rsidRDefault="00523867">
      <w:pPr>
        <w:rPr>
          <w:sz w:val="22"/>
          <w:szCs w:val="22"/>
        </w:rPr>
      </w:pPr>
      <w:r>
        <w:rPr>
          <w:sz w:val="22"/>
          <w:szCs w:val="22"/>
        </w:rPr>
        <w:t xml:space="preserve">Coordinador ponente.                                                       </w:t>
      </w: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1056D">
      <w:pPr>
        <w:rPr>
          <w:sz w:val="22"/>
          <w:szCs w:val="22"/>
        </w:rPr>
      </w:pPr>
    </w:p>
    <w:p w:rsidR="0051056D" w:rsidRDefault="0051056D">
      <w:pPr>
        <w:jc w:val="center"/>
        <w:rPr>
          <w:b/>
          <w:sz w:val="22"/>
          <w:szCs w:val="22"/>
        </w:rPr>
      </w:pPr>
    </w:p>
    <w:p w:rsidR="0051056D" w:rsidRDefault="00523867">
      <w:pPr>
        <w:jc w:val="center"/>
        <w:rPr>
          <w:b/>
          <w:sz w:val="22"/>
          <w:szCs w:val="22"/>
        </w:rPr>
      </w:pPr>
      <w:r>
        <w:rPr>
          <w:b/>
          <w:sz w:val="22"/>
          <w:szCs w:val="22"/>
        </w:rPr>
        <w:t>PONENCIA PROYECTO DE ACUERDO No. 192 DE  2025</w:t>
      </w:r>
    </w:p>
    <w:p w:rsidR="0051056D" w:rsidRDefault="0051056D">
      <w:pPr>
        <w:rPr>
          <w:sz w:val="22"/>
          <w:szCs w:val="22"/>
        </w:rPr>
      </w:pPr>
    </w:p>
    <w:p w:rsidR="0051056D" w:rsidRDefault="00523867">
      <w:pPr>
        <w:jc w:val="center"/>
        <w:rPr>
          <w:sz w:val="22"/>
          <w:szCs w:val="22"/>
        </w:rPr>
      </w:pPr>
      <w:r>
        <w:rPr>
          <w:b/>
          <w:i/>
          <w:sz w:val="22"/>
          <w:szCs w:val="22"/>
        </w:rPr>
        <w:t>“POR MEDIO DEL CUAL SE CREA LA RUTA DE ATENCION INTEGRAL PARA MUJERES HABITANTES DE LA CALLE EN EL DISTRITO CAPITAL Y SE DICTAN OTRAS DISPOSICIONES”</w:t>
      </w:r>
    </w:p>
    <w:p w:rsidR="0051056D" w:rsidRDefault="0051056D">
      <w:pPr>
        <w:jc w:val="center"/>
        <w:rPr>
          <w:sz w:val="22"/>
          <w:szCs w:val="22"/>
        </w:rPr>
      </w:pPr>
    </w:p>
    <w:p w:rsidR="0051056D" w:rsidRDefault="0051056D">
      <w:pPr>
        <w:rPr>
          <w:sz w:val="22"/>
          <w:szCs w:val="22"/>
        </w:rPr>
      </w:pPr>
    </w:p>
    <w:p w:rsidR="0051056D" w:rsidRDefault="00523867">
      <w:pPr>
        <w:numPr>
          <w:ilvl w:val="0"/>
          <w:numId w:val="1"/>
        </w:numPr>
        <w:pBdr>
          <w:top w:val="nil"/>
          <w:left w:val="nil"/>
          <w:bottom w:val="nil"/>
          <w:right w:val="nil"/>
          <w:between w:val="nil"/>
        </w:pBdr>
        <w:rPr>
          <w:sz w:val="22"/>
          <w:szCs w:val="22"/>
        </w:rPr>
      </w:pPr>
      <w:r>
        <w:rPr>
          <w:b/>
          <w:sz w:val="22"/>
          <w:szCs w:val="22"/>
          <w:u w:val="single"/>
        </w:rPr>
        <w:t>OBJETO</w:t>
      </w:r>
    </w:p>
    <w:p w:rsidR="0051056D" w:rsidRDefault="0051056D">
      <w:pPr>
        <w:rPr>
          <w:b/>
          <w:sz w:val="22"/>
          <w:szCs w:val="22"/>
        </w:rPr>
      </w:pPr>
    </w:p>
    <w:p w:rsidR="0051056D" w:rsidRDefault="00523867">
      <w:pPr>
        <w:spacing w:line="276" w:lineRule="auto"/>
        <w:jc w:val="both"/>
        <w:rPr>
          <w:sz w:val="22"/>
          <w:szCs w:val="22"/>
        </w:rPr>
      </w:pPr>
      <w:r>
        <w:rPr>
          <w:sz w:val="22"/>
          <w:szCs w:val="22"/>
        </w:rPr>
        <w:t>El presente proyecto de acuerdo tiene por objeto implementar una única ruta de atención integral para las mujeres habitantes de la calle en Bogotá, con el fin de establecer espacios de atención específicos y asertivos para las mujeres habitantes de calle.</w:t>
      </w:r>
    </w:p>
    <w:p w:rsidR="0051056D" w:rsidRDefault="0051056D">
      <w:pPr>
        <w:rPr>
          <w:sz w:val="22"/>
          <w:szCs w:val="22"/>
        </w:rPr>
      </w:pPr>
      <w:bookmarkStart w:id="2" w:name="_heading=h.gjdgxs" w:colFirst="0" w:colLast="0"/>
      <w:bookmarkEnd w:id="2"/>
    </w:p>
    <w:p w:rsidR="0051056D" w:rsidRDefault="0051056D">
      <w:pPr>
        <w:rPr>
          <w:sz w:val="22"/>
          <w:szCs w:val="22"/>
        </w:rPr>
      </w:pPr>
    </w:p>
    <w:p w:rsidR="0051056D" w:rsidRDefault="00523867">
      <w:pPr>
        <w:numPr>
          <w:ilvl w:val="0"/>
          <w:numId w:val="1"/>
        </w:numPr>
        <w:pBdr>
          <w:top w:val="nil"/>
          <w:left w:val="nil"/>
          <w:bottom w:val="nil"/>
          <w:right w:val="nil"/>
          <w:between w:val="nil"/>
        </w:pBdr>
        <w:rPr>
          <w:sz w:val="22"/>
          <w:szCs w:val="22"/>
        </w:rPr>
      </w:pPr>
      <w:r>
        <w:rPr>
          <w:b/>
          <w:sz w:val="22"/>
          <w:szCs w:val="22"/>
          <w:u w:val="single"/>
        </w:rPr>
        <w:t>JUSTIFICACIÓN DEL PROYECTO Y ANÁLISIS DE LA INICIATIVA</w:t>
      </w:r>
    </w:p>
    <w:p w:rsidR="0051056D" w:rsidRDefault="0051056D">
      <w:pPr>
        <w:rPr>
          <w:sz w:val="22"/>
          <w:szCs w:val="22"/>
        </w:rPr>
      </w:pPr>
    </w:p>
    <w:p w:rsidR="0051056D" w:rsidRDefault="00523867">
      <w:pPr>
        <w:jc w:val="both"/>
        <w:rPr>
          <w:sz w:val="22"/>
          <w:szCs w:val="22"/>
        </w:rPr>
      </w:pPr>
      <w:r>
        <w:rPr>
          <w:sz w:val="22"/>
          <w:szCs w:val="22"/>
        </w:rPr>
        <w:t xml:space="preserve">Habitar la calle siendo mujer, es considerar que se está enfrentando a problemas de inseguridad, violencia tanto física como sexual y discriminación por parte de los ciudadanos en Bogotá. De tal manera que, para estas mujeres vivir en la calle no es la primera ni mejor opción; sin embargo, cuando no hay otra salida, se convierte en una decisión riesgosa, que implica cambios en todos los aspectos de su vida, como su cuerpo, lenguaje y presentación personal. </w:t>
      </w:r>
    </w:p>
    <w:p w:rsidR="0051056D" w:rsidRDefault="0051056D">
      <w:pPr>
        <w:jc w:val="both"/>
        <w:rPr>
          <w:sz w:val="22"/>
          <w:szCs w:val="22"/>
        </w:rPr>
      </w:pPr>
    </w:p>
    <w:p w:rsidR="0051056D" w:rsidRDefault="00523867">
      <w:pPr>
        <w:jc w:val="both"/>
        <w:rPr>
          <w:sz w:val="22"/>
          <w:szCs w:val="22"/>
        </w:rPr>
      </w:pPr>
      <w:r>
        <w:rPr>
          <w:sz w:val="22"/>
          <w:szCs w:val="22"/>
        </w:rPr>
        <w:t>Las mujeres que habitan en la calle, a menudo son víctimas de violencia de género tanto física, como mental y sexualmente. Una ruta de atención puede proporcionarles servicios para identificar, prevenir y atender estas situaciones de violencia, garantizando su protección física y apoyo emocional</w:t>
      </w:r>
      <w:r>
        <w:t xml:space="preserve">. </w:t>
      </w:r>
      <w:r>
        <w:rPr>
          <w:sz w:val="22"/>
          <w:szCs w:val="22"/>
        </w:rPr>
        <w:t>En Bogotá, hay pocas políticas públicas que abordan el acceso efectivo a sus derechos y de la misma manera, a que estas mujeres se encuentren en un evidente estado de vulnerabilidad.</w:t>
      </w:r>
    </w:p>
    <w:p w:rsidR="0051056D" w:rsidRDefault="0051056D">
      <w:pPr>
        <w:jc w:val="both"/>
        <w:rPr>
          <w:sz w:val="22"/>
          <w:szCs w:val="22"/>
        </w:rPr>
      </w:pPr>
    </w:p>
    <w:p w:rsidR="0051056D" w:rsidRDefault="00523867">
      <w:pPr>
        <w:pBdr>
          <w:top w:val="nil"/>
          <w:left w:val="nil"/>
          <w:bottom w:val="nil"/>
          <w:right w:val="nil"/>
          <w:between w:val="nil"/>
        </w:pBdr>
        <w:jc w:val="both"/>
        <w:rPr>
          <w:sz w:val="22"/>
          <w:szCs w:val="22"/>
          <w:vertAlign w:val="superscript"/>
        </w:rPr>
      </w:pPr>
      <w:r>
        <w:rPr>
          <w:sz w:val="22"/>
          <w:szCs w:val="22"/>
        </w:rPr>
        <w:t>Según un artículo publicado por la revista Espectador</w:t>
      </w:r>
      <w:r>
        <w:rPr>
          <w:rFonts w:ascii="Times New Roman" w:eastAsia="Times New Roman" w:hAnsi="Times New Roman" w:cs="Times New Roman"/>
          <w:sz w:val="22"/>
          <w:szCs w:val="22"/>
        </w:rPr>
        <w:t xml:space="preserve">, </w:t>
      </w:r>
      <w:r>
        <w:rPr>
          <w:sz w:val="22"/>
          <w:szCs w:val="22"/>
        </w:rPr>
        <w:t>“La violencia estructural a la que se enfrentan las mujeres que habitan la calle puede concluir, de acuerdo con Rosero, con otras características como el trabajo o la explotación sexual y el consumo de drogas, que las hacen todavía más susceptibles a ser vulneradas”.</w:t>
      </w:r>
      <w:r>
        <w:rPr>
          <w:sz w:val="22"/>
          <w:szCs w:val="22"/>
          <w:vertAlign w:val="superscript"/>
        </w:rPr>
        <w:footnoteReference w:id="1"/>
      </w:r>
    </w:p>
    <w:p w:rsidR="0051056D" w:rsidRDefault="0051056D">
      <w:pPr>
        <w:pBdr>
          <w:top w:val="nil"/>
          <w:left w:val="nil"/>
          <w:bottom w:val="nil"/>
          <w:right w:val="nil"/>
          <w:between w:val="nil"/>
        </w:pBdr>
        <w:jc w:val="both"/>
        <w:rPr>
          <w:sz w:val="22"/>
          <w:szCs w:val="22"/>
          <w:vertAlign w:val="superscript"/>
        </w:rPr>
      </w:pPr>
    </w:p>
    <w:p w:rsidR="0051056D" w:rsidRDefault="00523867">
      <w:pPr>
        <w:pBdr>
          <w:top w:val="nil"/>
          <w:left w:val="nil"/>
          <w:bottom w:val="nil"/>
          <w:right w:val="nil"/>
          <w:between w:val="nil"/>
        </w:pBdr>
        <w:jc w:val="both"/>
        <w:rPr>
          <w:sz w:val="22"/>
          <w:szCs w:val="22"/>
        </w:rPr>
      </w:pPr>
      <w:r>
        <w:rPr>
          <w:sz w:val="22"/>
          <w:szCs w:val="22"/>
        </w:rPr>
        <w:t>Es por ello, que se considera pertinente señalar la importancia de los contextos familiares o emocionales de sufrimiento por la violencia perpetrada en contra de las mujeres por personas cercanas, a temprana edad, o por condiciones de adversidad que hacen que el uso de drogas sea una suerte de automedicación, llevándolas a una posibilidad de refugio. Estos factores, dificultan el acceso y/o la cercanía de estas mujeres a procesos de resocialización en los que se puedan ver cercanas a escenarios de agresión que ya han vivido.</w:t>
      </w:r>
    </w:p>
    <w:p w:rsidR="0051056D" w:rsidRDefault="0051056D">
      <w:pPr>
        <w:pBdr>
          <w:top w:val="nil"/>
          <w:left w:val="nil"/>
          <w:bottom w:val="nil"/>
          <w:right w:val="nil"/>
          <w:between w:val="nil"/>
        </w:pBdr>
        <w:jc w:val="both"/>
        <w:rPr>
          <w:sz w:val="22"/>
          <w:szCs w:val="22"/>
        </w:rPr>
      </w:pPr>
    </w:p>
    <w:p w:rsidR="0051056D" w:rsidRDefault="00523867">
      <w:pPr>
        <w:pBdr>
          <w:top w:val="nil"/>
          <w:left w:val="nil"/>
          <w:bottom w:val="nil"/>
          <w:right w:val="nil"/>
          <w:between w:val="nil"/>
        </w:pBdr>
        <w:jc w:val="both"/>
        <w:rPr>
          <w:sz w:val="22"/>
          <w:szCs w:val="22"/>
        </w:rPr>
      </w:pPr>
      <w:r>
        <w:rPr>
          <w:sz w:val="22"/>
          <w:szCs w:val="22"/>
        </w:rPr>
        <w:t>Por otro lado, otra de las problemáticas recurrentes y graves a las que se enfrentan las habitantes de calle es la inseguridad, en la medida en la que no solo se someten a desplazamientos y rechazos por parte de los ciudadanos, sino que también al abuso de autoridad, en donde son criminalizadas y señaladas. Si bien, no es secreto que las mujeres se encuentran más expuestas a problemáticas sociales, pero también de higiene, este se convierte en una problemática considerable y un punto demasiado importante y urgente por tratar.</w:t>
      </w:r>
    </w:p>
    <w:p w:rsidR="0051056D" w:rsidRDefault="0051056D">
      <w:pPr>
        <w:pBdr>
          <w:top w:val="nil"/>
          <w:left w:val="nil"/>
          <w:bottom w:val="nil"/>
          <w:right w:val="nil"/>
          <w:between w:val="nil"/>
        </w:pBdr>
        <w:jc w:val="both"/>
        <w:rPr>
          <w:sz w:val="22"/>
          <w:szCs w:val="22"/>
        </w:rPr>
      </w:pPr>
    </w:p>
    <w:p w:rsidR="0051056D" w:rsidRDefault="00523867">
      <w:pPr>
        <w:pBdr>
          <w:top w:val="nil"/>
          <w:left w:val="nil"/>
          <w:bottom w:val="nil"/>
          <w:right w:val="nil"/>
          <w:between w:val="nil"/>
        </w:pBdr>
        <w:jc w:val="both"/>
        <w:rPr>
          <w:sz w:val="22"/>
          <w:szCs w:val="22"/>
        </w:rPr>
      </w:pPr>
      <w:r>
        <w:rPr>
          <w:sz w:val="22"/>
          <w:szCs w:val="22"/>
        </w:rPr>
        <w:t>La intervención de manera integral con las mujeres habitantes de la calle tiene un impacto positivo también en la comunidad en general. Al ayudar a estas mujeres a salir de la situación de calle y ofrecerles una oportunidad para rehacer sus vidas, se contribuye a una ciudad más saludable, segura y equitativa. Además, la disminución de la violencia, los delitos y el consumo de sustancias en las calles también mejora la calidad de vida de todos los habitantes de Bogotá.</w:t>
      </w:r>
    </w:p>
    <w:p w:rsidR="0051056D" w:rsidRDefault="0051056D">
      <w:pPr>
        <w:pBdr>
          <w:top w:val="nil"/>
          <w:left w:val="nil"/>
          <w:bottom w:val="nil"/>
          <w:right w:val="nil"/>
          <w:between w:val="nil"/>
        </w:pBdr>
        <w:jc w:val="both"/>
        <w:rPr>
          <w:sz w:val="22"/>
          <w:szCs w:val="22"/>
        </w:rPr>
      </w:pPr>
    </w:p>
    <w:p w:rsidR="0051056D" w:rsidRDefault="00523867">
      <w:pPr>
        <w:pBdr>
          <w:top w:val="nil"/>
          <w:left w:val="nil"/>
          <w:bottom w:val="nil"/>
          <w:right w:val="nil"/>
          <w:between w:val="nil"/>
        </w:pBdr>
        <w:jc w:val="both"/>
        <w:rPr>
          <w:sz w:val="22"/>
          <w:szCs w:val="22"/>
        </w:rPr>
      </w:pPr>
      <w:r>
        <w:rPr>
          <w:sz w:val="22"/>
          <w:szCs w:val="22"/>
        </w:rPr>
        <w:t>De acuerdo con lo expuesto, y como bien lo justifica el autor de este proyecto, se presenta el mismo en aras de “Crear una ruta especial de atención integral a mujeres habitantes de calle en el Distrito Capital, que proteja y garantice los derechos de esta población vulnerable, las cuales, por su estado psicosocial cuentan con pocos instrumentos de ayuda y denuncia”.</w:t>
      </w:r>
    </w:p>
    <w:p w:rsidR="0051056D" w:rsidRDefault="0051056D">
      <w:pPr>
        <w:rPr>
          <w:sz w:val="22"/>
          <w:szCs w:val="22"/>
        </w:rPr>
      </w:pPr>
    </w:p>
    <w:p w:rsidR="0051056D" w:rsidRDefault="00523867">
      <w:pPr>
        <w:numPr>
          <w:ilvl w:val="0"/>
          <w:numId w:val="1"/>
        </w:numPr>
        <w:rPr>
          <w:sz w:val="22"/>
          <w:szCs w:val="22"/>
        </w:rPr>
      </w:pPr>
      <w:r>
        <w:rPr>
          <w:b/>
          <w:sz w:val="22"/>
          <w:szCs w:val="22"/>
          <w:u w:val="single"/>
        </w:rPr>
        <w:t>MARCO JURÍDICO DE LA INICIATIVA</w:t>
      </w:r>
    </w:p>
    <w:p w:rsidR="0051056D" w:rsidRDefault="0051056D">
      <w:pPr>
        <w:jc w:val="both"/>
        <w:rPr>
          <w:b/>
          <w:sz w:val="22"/>
          <w:szCs w:val="22"/>
        </w:rPr>
      </w:pPr>
    </w:p>
    <w:p w:rsidR="0051056D" w:rsidRDefault="00523867">
      <w:pPr>
        <w:numPr>
          <w:ilvl w:val="0"/>
          <w:numId w:val="2"/>
        </w:numPr>
        <w:jc w:val="both"/>
        <w:rPr>
          <w:b/>
          <w:sz w:val="22"/>
          <w:szCs w:val="22"/>
        </w:rPr>
      </w:pPr>
      <w:r>
        <w:rPr>
          <w:b/>
          <w:sz w:val="22"/>
          <w:szCs w:val="22"/>
          <w:u w:val="single"/>
        </w:rPr>
        <w:t>ORDEN CONSTITUCIONAL</w:t>
      </w:r>
    </w:p>
    <w:p w:rsidR="0051056D" w:rsidRDefault="0051056D">
      <w:pPr>
        <w:jc w:val="both"/>
        <w:rPr>
          <w:b/>
          <w:sz w:val="22"/>
          <w:szCs w:val="22"/>
        </w:rPr>
      </w:pPr>
    </w:p>
    <w:p w:rsidR="0051056D" w:rsidRDefault="00523867">
      <w:pPr>
        <w:jc w:val="both"/>
        <w:rPr>
          <w:sz w:val="22"/>
          <w:szCs w:val="22"/>
        </w:rPr>
      </w:pPr>
      <w:r>
        <w:rPr>
          <w:sz w:val="22"/>
          <w:szCs w:val="22"/>
        </w:rPr>
        <w:t>La Constitución Política de Colombia protege los derechos fundamentales de las personas y por esta razón se toma a consideración citar los siguientes artículos:</w:t>
      </w:r>
    </w:p>
    <w:p w:rsidR="0051056D" w:rsidRDefault="0051056D">
      <w:pPr>
        <w:rPr>
          <w:sz w:val="22"/>
          <w:szCs w:val="22"/>
        </w:rPr>
      </w:pPr>
    </w:p>
    <w:p w:rsidR="0051056D" w:rsidRDefault="00523867">
      <w:pPr>
        <w:ind w:right="498"/>
        <w:jc w:val="both"/>
        <w:rPr>
          <w:sz w:val="22"/>
          <w:szCs w:val="22"/>
        </w:rPr>
      </w:pPr>
      <w:r>
        <w:rPr>
          <w:b/>
          <w:sz w:val="22"/>
          <w:szCs w:val="22"/>
        </w:rPr>
        <w:t>ARTICULO 11</w:t>
      </w:r>
      <w:r>
        <w:rPr>
          <w:sz w:val="22"/>
          <w:szCs w:val="22"/>
        </w:rPr>
        <w:t>. El derecho a la vida es inviolable. No habrá pena de muerte.</w:t>
      </w:r>
    </w:p>
    <w:p w:rsidR="0051056D" w:rsidRDefault="0051056D">
      <w:pPr>
        <w:ind w:right="498"/>
        <w:jc w:val="both"/>
        <w:rPr>
          <w:sz w:val="22"/>
          <w:szCs w:val="22"/>
        </w:rPr>
      </w:pPr>
    </w:p>
    <w:p w:rsidR="0051056D" w:rsidRDefault="00523867">
      <w:pPr>
        <w:jc w:val="both"/>
        <w:rPr>
          <w:sz w:val="22"/>
          <w:szCs w:val="22"/>
        </w:rPr>
      </w:pPr>
      <w:bookmarkStart w:id="3" w:name="bookmark=id.1fob9te" w:colFirst="0" w:colLast="0"/>
      <w:bookmarkEnd w:id="3"/>
      <w:r>
        <w:rPr>
          <w:b/>
          <w:sz w:val="22"/>
          <w:szCs w:val="22"/>
        </w:rPr>
        <w:t>ARTICULO 12.</w:t>
      </w:r>
      <w:r>
        <w:rPr>
          <w:sz w:val="22"/>
          <w:szCs w:val="22"/>
        </w:rPr>
        <w:t xml:space="preserve"> Nadie será sometido a desaparición forzada, a torturas ni a tratos o penas crueles, inhumanos o degradantes.</w:t>
      </w:r>
    </w:p>
    <w:p w:rsidR="0051056D" w:rsidRDefault="0051056D">
      <w:pPr>
        <w:jc w:val="both"/>
        <w:rPr>
          <w:sz w:val="22"/>
          <w:szCs w:val="22"/>
        </w:rPr>
      </w:pPr>
    </w:p>
    <w:p w:rsidR="0051056D" w:rsidRDefault="00523867">
      <w:pPr>
        <w:jc w:val="both"/>
      </w:pPr>
      <w:bookmarkStart w:id="4" w:name="bookmark=id.3znysh7" w:colFirst="0" w:colLast="0"/>
      <w:bookmarkEnd w:id="4"/>
      <w:r>
        <w:rPr>
          <w:b/>
          <w:sz w:val="22"/>
          <w:szCs w:val="22"/>
        </w:rPr>
        <w:t>ARTICULO 13.</w:t>
      </w:r>
      <w:r>
        <w:rPr>
          <w:sz w:val="22"/>
          <w:szCs w:val="22"/>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r>
        <w:t>.</w:t>
      </w:r>
    </w:p>
    <w:p w:rsidR="0051056D" w:rsidRDefault="00523867">
      <w:pPr>
        <w:pBdr>
          <w:top w:val="nil"/>
          <w:left w:val="nil"/>
          <w:bottom w:val="nil"/>
          <w:right w:val="nil"/>
          <w:between w:val="nil"/>
        </w:pBdr>
        <w:rPr>
          <w:sz w:val="22"/>
          <w:szCs w:val="22"/>
        </w:rPr>
      </w:pPr>
      <w:r>
        <w:rPr>
          <w:sz w:val="22"/>
          <w:szCs w:val="22"/>
        </w:rPr>
        <w:t xml:space="preserve">El Estado promoverá las condiciones para que la igualdad sea real y efectiva y adoptará medidas en favor de grupos discriminados o marginados. </w:t>
      </w:r>
    </w:p>
    <w:p w:rsidR="0051056D" w:rsidRDefault="0051056D">
      <w:pPr>
        <w:pBdr>
          <w:top w:val="nil"/>
          <w:left w:val="nil"/>
          <w:bottom w:val="nil"/>
          <w:right w:val="nil"/>
          <w:between w:val="nil"/>
        </w:pBdr>
        <w:rPr>
          <w:sz w:val="22"/>
          <w:szCs w:val="22"/>
        </w:rPr>
      </w:pPr>
    </w:p>
    <w:p w:rsidR="0051056D" w:rsidRDefault="00523867">
      <w:pPr>
        <w:pBdr>
          <w:top w:val="nil"/>
          <w:left w:val="nil"/>
          <w:bottom w:val="nil"/>
          <w:right w:val="nil"/>
          <w:between w:val="nil"/>
        </w:pBdr>
        <w:rPr>
          <w:sz w:val="22"/>
          <w:szCs w:val="22"/>
        </w:rPr>
      </w:pPr>
      <w:r>
        <w:rPr>
          <w:sz w:val="22"/>
          <w:szCs w:val="22"/>
        </w:rPr>
        <w:t xml:space="preserve">El Estado protegerá especialmente a aquellas personas que, por su condición económica, física o mental, se encuentren en circunstancia de debilidad manifiesta y sancionará los abusos o maltratos que contra ellas se cometan. </w:t>
      </w:r>
    </w:p>
    <w:p w:rsidR="0051056D" w:rsidRDefault="0051056D">
      <w:pPr>
        <w:pBdr>
          <w:top w:val="nil"/>
          <w:left w:val="nil"/>
          <w:bottom w:val="nil"/>
          <w:right w:val="nil"/>
          <w:between w:val="nil"/>
        </w:pBdr>
        <w:rPr>
          <w:sz w:val="22"/>
          <w:szCs w:val="22"/>
        </w:rPr>
      </w:pPr>
    </w:p>
    <w:p w:rsidR="0051056D" w:rsidRDefault="00523867">
      <w:pPr>
        <w:numPr>
          <w:ilvl w:val="0"/>
          <w:numId w:val="5"/>
        </w:numPr>
        <w:jc w:val="both"/>
        <w:rPr>
          <w:b/>
          <w:sz w:val="22"/>
          <w:szCs w:val="22"/>
        </w:rPr>
      </w:pPr>
      <w:r>
        <w:rPr>
          <w:b/>
          <w:sz w:val="22"/>
          <w:szCs w:val="22"/>
          <w:u w:val="single"/>
        </w:rPr>
        <w:t>ORDEN LEGISLATIVO</w:t>
      </w:r>
    </w:p>
    <w:p w:rsidR="0051056D" w:rsidRDefault="0051056D">
      <w:pPr>
        <w:jc w:val="both"/>
        <w:rPr>
          <w:sz w:val="22"/>
          <w:szCs w:val="22"/>
        </w:rPr>
      </w:pPr>
    </w:p>
    <w:p w:rsidR="0051056D" w:rsidRDefault="00523867">
      <w:pPr>
        <w:pBdr>
          <w:top w:val="nil"/>
          <w:left w:val="nil"/>
          <w:bottom w:val="nil"/>
          <w:right w:val="nil"/>
          <w:between w:val="nil"/>
        </w:pBdr>
        <w:ind w:right="497"/>
        <w:jc w:val="both"/>
        <w:rPr>
          <w:b/>
          <w:sz w:val="22"/>
          <w:szCs w:val="22"/>
        </w:rPr>
      </w:pPr>
      <w:r>
        <w:rPr>
          <w:b/>
          <w:sz w:val="22"/>
          <w:szCs w:val="22"/>
        </w:rPr>
        <w:t xml:space="preserve">LEY 1257 DE 2008. “Por la cual se dictan normas de sensibilización, prevención y sanción de formas de violencia y discriminación contra las mujeres, se reforman los Código Penal, de Procedimiento Penal, la Ley 294 de 1996 y se dictan otras disposiciones”. </w:t>
      </w:r>
    </w:p>
    <w:p w:rsidR="0051056D" w:rsidRDefault="0051056D">
      <w:pPr>
        <w:pBdr>
          <w:top w:val="nil"/>
          <w:left w:val="nil"/>
          <w:bottom w:val="nil"/>
          <w:right w:val="nil"/>
          <w:between w:val="nil"/>
        </w:pBdr>
        <w:ind w:right="497"/>
        <w:jc w:val="both"/>
        <w:rPr>
          <w:b/>
          <w:sz w:val="22"/>
          <w:szCs w:val="22"/>
        </w:rPr>
      </w:pPr>
    </w:p>
    <w:p w:rsidR="0051056D" w:rsidRDefault="00523867">
      <w:pPr>
        <w:jc w:val="both"/>
        <w:rPr>
          <w:sz w:val="22"/>
          <w:szCs w:val="22"/>
        </w:rPr>
      </w:pPr>
      <w:r>
        <w:rPr>
          <w:sz w:val="22"/>
          <w:szCs w:val="22"/>
        </w:rPr>
        <w:t>Adoptar normas que permitan garantizar para todas las mujeres una vida libre de violencia, tanto en el ámbito público como en el privado, el ejercicio de los derechos reconocidos en el ordenamiento jurídico interno e internacional, el acceso a los procedimientos administrativos y judiciales para su protección y atención, y la adopción de las políticas públicas necesarias para su realización.</w:t>
      </w:r>
    </w:p>
    <w:p w:rsidR="0051056D" w:rsidRDefault="0051056D">
      <w:pPr>
        <w:jc w:val="both"/>
        <w:rPr>
          <w:sz w:val="22"/>
          <w:szCs w:val="22"/>
        </w:rPr>
      </w:pPr>
    </w:p>
    <w:p w:rsidR="0051056D" w:rsidRDefault="00523867">
      <w:pPr>
        <w:jc w:val="both"/>
        <w:rPr>
          <w:b/>
          <w:i/>
          <w:sz w:val="22"/>
          <w:szCs w:val="22"/>
        </w:rPr>
      </w:pPr>
      <w:r>
        <w:rPr>
          <w:b/>
          <w:sz w:val="22"/>
          <w:szCs w:val="22"/>
        </w:rPr>
        <w:t xml:space="preserve">LEY 1542 DE 2012. </w:t>
      </w:r>
      <w:r>
        <w:rPr>
          <w:b/>
          <w:i/>
          <w:sz w:val="22"/>
          <w:szCs w:val="22"/>
        </w:rPr>
        <w:t>Por la cual se reforma el artículo 74 de la Ley 906 de 2004, Código de Procedimiento Penal</w:t>
      </w:r>
    </w:p>
    <w:p w:rsidR="0051056D" w:rsidRDefault="0051056D">
      <w:pPr>
        <w:jc w:val="both"/>
        <w:rPr>
          <w:b/>
          <w:i/>
          <w:sz w:val="22"/>
          <w:szCs w:val="22"/>
        </w:rPr>
      </w:pPr>
    </w:p>
    <w:p w:rsidR="0051056D" w:rsidRDefault="00523867">
      <w:pPr>
        <w:jc w:val="both"/>
        <w:rPr>
          <w:sz w:val="22"/>
          <w:szCs w:val="22"/>
        </w:rPr>
      </w:pPr>
      <w:r>
        <w:rPr>
          <w:b/>
          <w:sz w:val="22"/>
          <w:szCs w:val="22"/>
        </w:rPr>
        <w:t>Artículo 1°.</w:t>
      </w:r>
      <w:r>
        <w:rPr>
          <w:sz w:val="22"/>
          <w:szCs w:val="22"/>
        </w:rPr>
        <w:t xml:space="preserve"> Objeto de la ley. La presente ley tiene por objeto garantizar la protección y diligencia de las autoridades en la investigación de los presuntos delitos de violencia contra la mujer y eliminar el carácter de </w:t>
      </w:r>
      <w:proofErr w:type="spellStart"/>
      <w:r>
        <w:rPr>
          <w:sz w:val="22"/>
          <w:szCs w:val="22"/>
        </w:rPr>
        <w:t>querellables</w:t>
      </w:r>
      <w:proofErr w:type="spellEnd"/>
      <w:r>
        <w:rPr>
          <w:sz w:val="22"/>
          <w:szCs w:val="22"/>
        </w:rPr>
        <w:t xml:space="preserve"> y </w:t>
      </w:r>
      <w:proofErr w:type="spellStart"/>
      <w:r>
        <w:rPr>
          <w:sz w:val="22"/>
          <w:szCs w:val="22"/>
        </w:rPr>
        <w:t>desistibles</w:t>
      </w:r>
      <w:proofErr w:type="spellEnd"/>
      <w:r>
        <w:rPr>
          <w:sz w:val="22"/>
          <w:szCs w:val="22"/>
        </w:rPr>
        <w:t xml:space="preserve"> de los delitos de violencia intrafamiliar e inasistencia alimentaria, tipificados en los artículos 229 y 233 del Código Penal.</w:t>
      </w:r>
    </w:p>
    <w:p w:rsidR="0051056D" w:rsidRDefault="0051056D">
      <w:pPr>
        <w:jc w:val="both"/>
        <w:rPr>
          <w:sz w:val="22"/>
          <w:szCs w:val="22"/>
        </w:rPr>
      </w:pPr>
    </w:p>
    <w:p w:rsidR="0051056D" w:rsidRDefault="00523867">
      <w:pPr>
        <w:pBdr>
          <w:top w:val="nil"/>
          <w:left w:val="nil"/>
          <w:bottom w:val="nil"/>
          <w:right w:val="nil"/>
          <w:between w:val="nil"/>
        </w:pBdr>
        <w:rPr>
          <w:sz w:val="22"/>
          <w:szCs w:val="22"/>
        </w:rPr>
      </w:pPr>
      <w:r>
        <w:rPr>
          <w:b/>
          <w:sz w:val="22"/>
          <w:szCs w:val="22"/>
        </w:rPr>
        <w:t>Artículo 3°.</w:t>
      </w:r>
      <w:r>
        <w:rPr>
          <w:sz w:val="22"/>
          <w:szCs w:val="22"/>
        </w:rPr>
        <w:t xml:space="preserve"> Adiciónese al artículo 74 de la Ley 906 de 2004, Código de Procedimiento Penal, el siguiente </w:t>
      </w:r>
      <w:hyperlink r:id="rId10" w:anchor="74.P">
        <w:r>
          <w:rPr>
            <w:sz w:val="22"/>
            <w:szCs w:val="22"/>
          </w:rPr>
          <w:t>parágrafo</w:t>
        </w:r>
      </w:hyperlink>
      <w:r>
        <w:rPr>
          <w:sz w:val="22"/>
          <w:szCs w:val="22"/>
        </w:rPr>
        <w:t xml:space="preserve">: </w:t>
      </w:r>
    </w:p>
    <w:p w:rsidR="0051056D" w:rsidRDefault="0051056D">
      <w:pPr>
        <w:pBdr>
          <w:top w:val="nil"/>
          <w:left w:val="nil"/>
          <w:bottom w:val="nil"/>
          <w:right w:val="nil"/>
          <w:between w:val="nil"/>
        </w:pBdr>
        <w:rPr>
          <w:sz w:val="22"/>
          <w:szCs w:val="22"/>
        </w:rPr>
      </w:pPr>
    </w:p>
    <w:p w:rsidR="0051056D" w:rsidRDefault="00523867">
      <w:pPr>
        <w:pBdr>
          <w:top w:val="nil"/>
          <w:left w:val="nil"/>
          <w:bottom w:val="nil"/>
          <w:right w:val="nil"/>
          <w:between w:val="nil"/>
        </w:pBdr>
        <w:jc w:val="both"/>
        <w:rPr>
          <w:sz w:val="22"/>
          <w:szCs w:val="22"/>
        </w:rPr>
      </w:pPr>
      <w:r>
        <w:rPr>
          <w:sz w:val="22"/>
          <w:szCs w:val="22"/>
        </w:rPr>
        <w:t>Parágrafo. En todos los casos en que se tenga conocimiento de la comisión de conductas relacionadas con presuntos delitos de violencia contra la mujer, las autoridades judiciales investigarán de oficio, en cumplimiento de la obligación de actuar con la debida diligencia para prevenir, investigar y sancionar la violencia contra las mujeres consagrada en el artículo 7° literal b) de la Convención de Belém do Pará, ratificada por el Estado colombiano mediante la Ley 248 de 1995.</w:t>
      </w:r>
    </w:p>
    <w:p w:rsidR="0051056D" w:rsidRDefault="00523867">
      <w:pPr>
        <w:pBdr>
          <w:top w:val="nil"/>
          <w:left w:val="nil"/>
          <w:bottom w:val="nil"/>
          <w:right w:val="nil"/>
          <w:between w:val="nil"/>
        </w:pBdr>
        <w:jc w:val="both"/>
        <w:rPr>
          <w:sz w:val="22"/>
          <w:szCs w:val="22"/>
        </w:rPr>
      </w:pPr>
      <w:r>
        <w:rPr>
          <w:sz w:val="22"/>
          <w:szCs w:val="22"/>
        </w:rPr>
        <w:lastRenderedPageBreak/>
        <w:t xml:space="preserve"> </w:t>
      </w:r>
    </w:p>
    <w:p w:rsidR="0051056D" w:rsidRDefault="00523867">
      <w:pPr>
        <w:pBdr>
          <w:top w:val="nil"/>
          <w:left w:val="nil"/>
          <w:bottom w:val="nil"/>
          <w:right w:val="nil"/>
          <w:between w:val="nil"/>
        </w:pBdr>
        <w:rPr>
          <w:b/>
          <w:sz w:val="22"/>
          <w:szCs w:val="22"/>
        </w:rPr>
      </w:pPr>
      <w:r>
        <w:rPr>
          <w:b/>
          <w:sz w:val="22"/>
          <w:szCs w:val="22"/>
        </w:rPr>
        <w:t>LEY 1641 DE 2013. Por la cual se establecen los lineamientos para la formulación de la política pública social para habitantes de la calle y se dictan otras disposiciones.</w:t>
      </w:r>
    </w:p>
    <w:p w:rsidR="0051056D" w:rsidRDefault="00523867">
      <w:pPr>
        <w:jc w:val="both"/>
        <w:rPr>
          <w:sz w:val="22"/>
          <w:szCs w:val="22"/>
        </w:rPr>
      </w:pPr>
      <w:r>
        <w:rPr>
          <w:b/>
          <w:sz w:val="22"/>
          <w:szCs w:val="22"/>
        </w:rPr>
        <w:t xml:space="preserve">Artículo 1°. </w:t>
      </w:r>
      <w:r>
        <w:rPr>
          <w:b/>
          <w:i/>
          <w:sz w:val="22"/>
          <w:szCs w:val="22"/>
        </w:rPr>
        <w:t>Objeto</w:t>
      </w:r>
      <w:r>
        <w:rPr>
          <w:i/>
          <w:sz w:val="22"/>
          <w:szCs w:val="22"/>
        </w:rPr>
        <w:t xml:space="preserve">. </w:t>
      </w:r>
      <w:r>
        <w:rPr>
          <w:sz w:val="22"/>
          <w:szCs w:val="22"/>
        </w:rPr>
        <w:t>La presente ley tiene por objeto establecer los lineamientos generales para la formulación de la política pública social para habitantes de la calle dirigidos a garantizar, promocionar, proteger y restablecer los derechos de estas personas, con el propósito de lograr su atención integral, rehabilitación e inclusión social.</w:t>
      </w:r>
    </w:p>
    <w:p w:rsidR="00280A85" w:rsidRDefault="00280A85">
      <w:pPr>
        <w:jc w:val="both"/>
        <w:rPr>
          <w:sz w:val="22"/>
          <w:szCs w:val="22"/>
        </w:rPr>
      </w:pPr>
    </w:p>
    <w:p w:rsidR="0051056D" w:rsidRDefault="00523867">
      <w:pPr>
        <w:jc w:val="both"/>
        <w:rPr>
          <w:sz w:val="22"/>
          <w:szCs w:val="22"/>
        </w:rPr>
      </w:pPr>
      <w:r>
        <w:rPr>
          <w:b/>
          <w:sz w:val="22"/>
          <w:szCs w:val="22"/>
        </w:rPr>
        <w:t xml:space="preserve">Artículo 2°. </w:t>
      </w:r>
      <w:r>
        <w:rPr>
          <w:b/>
          <w:i/>
          <w:sz w:val="22"/>
          <w:szCs w:val="22"/>
        </w:rPr>
        <w:t xml:space="preserve">Definiciones. </w:t>
      </w:r>
      <w:r>
        <w:rPr>
          <w:sz w:val="22"/>
          <w:szCs w:val="22"/>
        </w:rPr>
        <w:t>Para la aplicación de la presente ley se tendrán en cuenta las siguientes definiciones:</w:t>
      </w:r>
    </w:p>
    <w:p w:rsidR="0051056D" w:rsidRDefault="00523867">
      <w:pPr>
        <w:pBdr>
          <w:top w:val="nil"/>
          <w:left w:val="nil"/>
          <w:bottom w:val="nil"/>
          <w:right w:val="nil"/>
          <w:between w:val="nil"/>
        </w:pBdr>
        <w:spacing w:before="280" w:after="280"/>
        <w:jc w:val="both"/>
        <w:rPr>
          <w:sz w:val="22"/>
          <w:szCs w:val="22"/>
        </w:rPr>
      </w:pPr>
      <w:r>
        <w:rPr>
          <w:sz w:val="22"/>
          <w:szCs w:val="22"/>
        </w:rPr>
        <w:t xml:space="preserve">a) Política pública social para habitantes de la calle: Constituye el conjunto de principios, lineamientos, estrategias, mecanismos y herramientas que orientarán las acciones del Estado colombiano en la búsqueda de garantizar, promover, proteger y restablecer los derechos de las personas habitantes de la calle, con el propósito de lograr su rehabilitación y su inclusión social; </w:t>
      </w:r>
    </w:p>
    <w:p w:rsidR="0051056D" w:rsidRDefault="00523867">
      <w:pPr>
        <w:pBdr>
          <w:top w:val="nil"/>
          <w:left w:val="nil"/>
          <w:bottom w:val="nil"/>
          <w:right w:val="nil"/>
          <w:between w:val="nil"/>
        </w:pBdr>
        <w:spacing w:before="280" w:after="280"/>
        <w:jc w:val="both"/>
        <w:rPr>
          <w:sz w:val="22"/>
          <w:szCs w:val="22"/>
        </w:rPr>
      </w:pPr>
      <w:r>
        <w:rPr>
          <w:sz w:val="22"/>
          <w:szCs w:val="22"/>
        </w:rPr>
        <w:t>b) Habitante de la calle: Persona sin distinción de sexo, raza o edad, que hace de la calle su lugar de habitación, ya sea de forma permanente o transitoria</w:t>
      </w:r>
    </w:p>
    <w:p w:rsidR="0051056D" w:rsidRDefault="00523867">
      <w:pPr>
        <w:pBdr>
          <w:top w:val="nil"/>
          <w:left w:val="nil"/>
          <w:bottom w:val="nil"/>
          <w:right w:val="nil"/>
          <w:between w:val="nil"/>
        </w:pBdr>
        <w:spacing w:before="280" w:after="280"/>
        <w:jc w:val="both"/>
        <w:rPr>
          <w:sz w:val="22"/>
          <w:szCs w:val="22"/>
        </w:rPr>
      </w:pPr>
      <w:r>
        <w:rPr>
          <w:sz w:val="22"/>
          <w:szCs w:val="22"/>
        </w:rPr>
        <w:t xml:space="preserve">c) Habitabilidad en calle: Hace referencia a las sinergias relacionales entre los habitantes de la calle y la ciudadanía en general; incluye la lectura de factores causales, tanto estructurales como individuales; </w:t>
      </w:r>
    </w:p>
    <w:p w:rsidR="0051056D" w:rsidRDefault="00523867">
      <w:pPr>
        <w:pBdr>
          <w:top w:val="nil"/>
          <w:left w:val="nil"/>
          <w:bottom w:val="nil"/>
          <w:right w:val="nil"/>
          <w:between w:val="nil"/>
        </w:pBdr>
        <w:spacing w:before="280" w:after="280"/>
        <w:jc w:val="both"/>
        <w:rPr>
          <w:rFonts w:ascii="Times New Roman" w:eastAsia="Times New Roman" w:hAnsi="Times New Roman" w:cs="Times New Roman"/>
          <w:sz w:val="22"/>
          <w:szCs w:val="22"/>
        </w:rPr>
      </w:pPr>
      <w:r>
        <w:rPr>
          <w:sz w:val="22"/>
          <w:szCs w:val="22"/>
        </w:rPr>
        <w:t xml:space="preserve">d) Calle: Lugar que los habitantes de la calle toman como su residencia habitual y que no cumple con la totalidad de los elementos para solventar las necesidades básicas de un ser humano. </w:t>
      </w:r>
    </w:p>
    <w:p w:rsidR="0051056D" w:rsidRDefault="00523867">
      <w:pPr>
        <w:numPr>
          <w:ilvl w:val="0"/>
          <w:numId w:val="4"/>
        </w:numPr>
        <w:jc w:val="both"/>
        <w:rPr>
          <w:b/>
          <w:sz w:val="22"/>
          <w:szCs w:val="22"/>
        </w:rPr>
      </w:pPr>
      <w:r>
        <w:rPr>
          <w:b/>
          <w:sz w:val="22"/>
          <w:szCs w:val="22"/>
          <w:u w:val="single"/>
        </w:rPr>
        <w:t>ORDEN NORMATIVO</w:t>
      </w:r>
    </w:p>
    <w:p w:rsidR="0051056D" w:rsidRDefault="0051056D">
      <w:pPr>
        <w:ind w:left="720"/>
        <w:jc w:val="both"/>
        <w:rPr>
          <w:b/>
          <w:sz w:val="22"/>
          <w:szCs w:val="22"/>
          <w:u w:val="single"/>
        </w:rPr>
      </w:pPr>
    </w:p>
    <w:p w:rsidR="0051056D" w:rsidRDefault="00523867">
      <w:pPr>
        <w:pBdr>
          <w:top w:val="nil"/>
          <w:left w:val="nil"/>
          <w:bottom w:val="nil"/>
          <w:right w:val="nil"/>
          <w:between w:val="nil"/>
        </w:pBdr>
        <w:jc w:val="both"/>
        <w:rPr>
          <w:b/>
          <w:sz w:val="22"/>
          <w:szCs w:val="22"/>
        </w:rPr>
      </w:pPr>
      <w:r>
        <w:rPr>
          <w:b/>
          <w:sz w:val="22"/>
          <w:szCs w:val="22"/>
        </w:rPr>
        <w:t xml:space="preserve">DECRETO 4796 DE 211. Por el cual se reglamentan parcialmente los artículos </w:t>
      </w:r>
      <w:hyperlink r:id="rId11" w:anchor="8">
        <w:r>
          <w:rPr>
            <w:b/>
            <w:sz w:val="22"/>
            <w:szCs w:val="22"/>
          </w:rPr>
          <w:t>8°</w:t>
        </w:r>
      </w:hyperlink>
      <w:r>
        <w:rPr>
          <w:b/>
          <w:sz w:val="22"/>
          <w:szCs w:val="22"/>
        </w:rPr>
        <w:t xml:space="preserve">, </w:t>
      </w:r>
      <w:hyperlink r:id="rId12" w:anchor="9">
        <w:r>
          <w:rPr>
            <w:b/>
            <w:sz w:val="22"/>
            <w:szCs w:val="22"/>
          </w:rPr>
          <w:t>9°</w:t>
        </w:r>
      </w:hyperlink>
      <w:r>
        <w:rPr>
          <w:b/>
          <w:sz w:val="22"/>
          <w:szCs w:val="22"/>
        </w:rPr>
        <w:t xml:space="preserve">, </w:t>
      </w:r>
      <w:hyperlink r:id="rId13" w:anchor="13">
        <w:r>
          <w:rPr>
            <w:b/>
            <w:sz w:val="22"/>
            <w:szCs w:val="22"/>
          </w:rPr>
          <w:t>13</w:t>
        </w:r>
      </w:hyperlink>
      <w:r>
        <w:rPr>
          <w:b/>
          <w:sz w:val="22"/>
          <w:szCs w:val="22"/>
        </w:rPr>
        <w:t xml:space="preserve"> y </w:t>
      </w:r>
      <w:hyperlink r:id="rId14" w:anchor="19">
        <w:r>
          <w:rPr>
            <w:b/>
            <w:sz w:val="22"/>
            <w:szCs w:val="22"/>
          </w:rPr>
          <w:t>19</w:t>
        </w:r>
      </w:hyperlink>
      <w:r>
        <w:rPr>
          <w:b/>
          <w:sz w:val="22"/>
          <w:szCs w:val="22"/>
        </w:rPr>
        <w:t xml:space="preserve"> de la Ley 1257 de 2008 y se dictan otras disposiciones.</w:t>
      </w:r>
    </w:p>
    <w:p w:rsidR="0051056D" w:rsidRDefault="00523867">
      <w:pPr>
        <w:spacing w:before="280" w:after="280"/>
        <w:rPr>
          <w:sz w:val="22"/>
          <w:szCs w:val="22"/>
        </w:rPr>
      </w:pPr>
      <w:r>
        <w:rPr>
          <w:b/>
          <w:sz w:val="22"/>
          <w:szCs w:val="22"/>
        </w:rPr>
        <w:t>Artículo 1°. Objeto.</w:t>
      </w:r>
      <w:r>
        <w:rPr>
          <w:sz w:val="22"/>
          <w:szCs w:val="22"/>
        </w:rPr>
        <w:t xml:space="preserve"> El presente decreto tiene por objeto definir las acciones necesarias para detectar, prevenir y atender integralmente a través de los servicios que garantiza el Sistema General de Seguridad Social en Salud a las mujeres víctimas de violencia e implementar mecanismos para hacer efectivo el derecho a la salud.</w:t>
      </w:r>
    </w:p>
    <w:p w:rsidR="0051056D" w:rsidRDefault="00523867">
      <w:pPr>
        <w:spacing w:before="280" w:after="280"/>
        <w:rPr>
          <w:sz w:val="22"/>
          <w:szCs w:val="22"/>
        </w:rPr>
      </w:pPr>
      <w:r>
        <w:rPr>
          <w:b/>
          <w:sz w:val="22"/>
          <w:szCs w:val="22"/>
        </w:rPr>
        <w:t>Artículo 2°. Ámbito de aplicación</w:t>
      </w:r>
      <w:r>
        <w:rPr>
          <w:sz w:val="22"/>
          <w:szCs w:val="22"/>
        </w:rPr>
        <w:t xml:space="preserve">. Las disposiciones del presente decreto se aplican a las instituciones que integran el Sistema General de Seguridad Social en Salud, a las autoridades judiciales en el marco de las competencias que le fueron asignadas mediante </w:t>
      </w:r>
      <w:r>
        <w:rPr>
          <w:sz w:val="22"/>
          <w:szCs w:val="22"/>
        </w:rPr>
        <w:lastRenderedPageBreak/>
        <w:t>la Ley 1257 de 2008, así como a las entidades territoriales responsables del aseguramiento.</w:t>
      </w:r>
    </w:p>
    <w:p w:rsidR="0051056D" w:rsidRDefault="00523867">
      <w:pPr>
        <w:jc w:val="both"/>
        <w:rPr>
          <w:b/>
          <w:sz w:val="22"/>
          <w:szCs w:val="22"/>
        </w:rPr>
      </w:pPr>
      <w:r>
        <w:rPr>
          <w:b/>
          <w:sz w:val="22"/>
          <w:szCs w:val="22"/>
        </w:rPr>
        <w:t>DECRETO 166 DE 2010. Por el cual se adopta la Política Pública de Mujeres y Equidad de Género en el Distrito Capital y se dictan otras disposiciones</w:t>
      </w:r>
    </w:p>
    <w:p w:rsidR="0051056D" w:rsidRDefault="00523867">
      <w:pPr>
        <w:spacing w:before="280" w:after="280"/>
        <w:jc w:val="center"/>
        <w:rPr>
          <w:b/>
          <w:sz w:val="22"/>
          <w:szCs w:val="22"/>
        </w:rPr>
      </w:pPr>
      <w:r>
        <w:rPr>
          <w:b/>
          <w:sz w:val="22"/>
          <w:szCs w:val="22"/>
        </w:rPr>
        <w:t>TÍTULO I</w:t>
      </w:r>
    </w:p>
    <w:p w:rsidR="0051056D" w:rsidRDefault="00523867">
      <w:pPr>
        <w:spacing w:before="280" w:after="280"/>
        <w:jc w:val="center"/>
        <w:rPr>
          <w:b/>
          <w:sz w:val="22"/>
          <w:szCs w:val="22"/>
        </w:rPr>
      </w:pPr>
      <w:r>
        <w:rPr>
          <w:b/>
          <w:sz w:val="22"/>
          <w:szCs w:val="22"/>
        </w:rPr>
        <w:t>ADOPCIÓN, CONCEPTO, ÁMBITO DE APLICACIÓN Y ENFOQUE DE LA POLÍTICA PÚBLICA DE MUJERES Y EQUIDAD DE GÉNERO EN EL DISTRITO CAPITAL</w:t>
      </w:r>
    </w:p>
    <w:p w:rsidR="0051056D" w:rsidRDefault="00523867">
      <w:pPr>
        <w:spacing w:before="280" w:after="280"/>
        <w:jc w:val="both"/>
        <w:rPr>
          <w:sz w:val="22"/>
          <w:szCs w:val="22"/>
        </w:rPr>
      </w:pPr>
      <w:r>
        <w:rPr>
          <w:b/>
          <w:sz w:val="22"/>
          <w:szCs w:val="22"/>
        </w:rPr>
        <w:t>Artículo 1°. Adopción</w:t>
      </w:r>
      <w:r>
        <w:rPr>
          <w:sz w:val="22"/>
          <w:szCs w:val="22"/>
        </w:rPr>
        <w:t xml:space="preserve">. Adoptar la Política Pública de Mujeres y Equidad de Género en el Distrito Capital, en el marco del reconocimiento, garantía y restitución de los derechos de las mujeres de la zona rural y urbana de la ciudad. </w:t>
      </w:r>
    </w:p>
    <w:p w:rsidR="0051056D" w:rsidRDefault="00523867">
      <w:pPr>
        <w:spacing w:before="280" w:after="280"/>
        <w:jc w:val="both"/>
        <w:rPr>
          <w:sz w:val="22"/>
          <w:szCs w:val="22"/>
        </w:rPr>
      </w:pPr>
      <w:r>
        <w:rPr>
          <w:b/>
          <w:sz w:val="22"/>
          <w:szCs w:val="22"/>
        </w:rPr>
        <w:t>Artículo 2°. Concepto</w:t>
      </w:r>
      <w:r>
        <w:rPr>
          <w:sz w:val="22"/>
          <w:szCs w:val="22"/>
        </w:rPr>
        <w:t xml:space="preserve">. La Política Pública de Mujeres y Equidad de Género en el Distrito Capital es el marco de acción social, político e institucional que, desde el reconocimiento, garantía y restitución de los derechos de las mujeres que habitan el territorio, contribuye a modificar las condiciones evitables de desigualdad, discriminación y subordinación que, en razón al género, persisten aún en los ámbitos social, económico, cultural y político de la sociedad. </w:t>
      </w:r>
    </w:p>
    <w:p w:rsidR="0051056D" w:rsidRDefault="00523867">
      <w:pPr>
        <w:spacing w:before="280" w:after="280"/>
        <w:jc w:val="both"/>
        <w:rPr>
          <w:sz w:val="22"/>
          <w:szCs w:val="22"/>
        </w:rPr>
      </w:pPr>
      <w:r>
        <w:rPr>
          <w:b/>
          <w:sz w:val="22"/>
          <w:szCs w:val="22"/>
        </w:rPr>
        <w:t>Artículo 3°. Ámbito de aplicación</w:t>
      </w:r>
      <w:r>
        <w:rPr>
          <w:sz w:val="22"/>
          <w:szCs w:val="22"/>
        </w:rPr>
        <w:t xml:space="preserve">. La Política Pública de Mujeres y Equidad de Género en el Distrito Capital se aplica en el territorio urbano y rural de Bogotá, Distrito Capital y de su implementación son responsables las entidades de los Sectores Central, Descentralizado, y de las Localidades, que conforman la Administración Distrital. </w:t>
      </w:r>
    </w:p>
    <w:p w:rsidR="0051056D" w:rsidRDefault="00523867">
      <w:pPr>
        <w:spacing w:before="280" w:after="280"/>
        <w:jc w:val="both"/>
        <w:rPr>
          <w:sz w:val="22"/>
          <w:szCs w:val="22"/>
        </w:rPr>
      </w:pPr>
      <w:r>
        <w:rPr>
          <w:b/>
          <w:sz w:val="22"/>
          <w:szCs w:val="22"/>
        </w:rPr>
        <w:t>Artículo 4°. Enfoque.</w:t>
      </w:r>
      <w:r>
        <w:rPr>
          <w:sz w:val="22"/>
          <w:szCs w:val="22"/>
        </w:rPr>
        <w:t xml:space="preserve"> La Política Pública de Mujeres y Equidad de Género está orientada por el enfoque de derechos y de género. Los derechos humanos de las mujeres son universales, indivisibles e interdependientes. Éstos se hacen efectivos mediante la igualdad real entre mujeres y hombres. </w:t>
      </w:r>
    </w:p>
    <w:p w:rsidR="0051056D" w:rsidRDefault="00523867">
      <w:pPr>
        <w:spacing w:before="280" w:after="280"/>
        <w:jc w:val="both"/>
        <w:rPr>
          <w:sz w:val="22"/>
          <w:szCs w:val="22"/>
        </w:rPr>
      </w:pPr>
      <w:r>
        <w:rPr>
          <w:sz w:val="22"/>
          <w:szCs w:val="22"/>
        </w:rPr>
        <w:t xml:space="preserve">Los derechos civiles y políticos se articulan con los derechos económicos, sociales y culturales, así como con los derechos sexuales y reproductivos, en la medida que es en el cuerpo de las mujeres donde se establece su unidad y se hace posible el ejercicio de los mismos. Igualmente, la integridad física y mental de las mujeres se considera como presupuesto fundamental para el ejercicio del resto de sus derechos. </w:t>
      </w:r>
    </w:p>
    <w:p w:rsidR="0051056D" w:rsidRDefault="00523867">
      <w:pPr>
        <w:spacing w:before="280" w:after="280"/>
        <w:jc w:val="both"/>
        <w:rPr>
          <w:sz w:val="22"/>
          <w:szCs w:val="22"/>
        </w:rPr>
      </w:pPr>
      <w:r>
        <w:rPr>
          <w:sz w:val="22"/>
          <w:szCs w:val="22"/>
        </w:rPr>
        <w:t xml:space="preserve">La desigualdad que enfrentan las mujeres, originada en la construcción social, en la cual, a partir de las diferencias biológicas (sexuales) entre mujeres y hombres, se han estructurado social y culturalmente relaciones de poder jerarquizadas y subordinadas, ámbitos de interacción diferenciados y subvalorados (público y privado), y relaciones económicas </w:t>
      </w:r>
      <w:r>
        <w:rPr>
          <w:sz w:val="22"/>
          <w:szCs w:val="22"/>
        </w:rPr>
        <w:lastRenderedPageBreak/>
        <w:t>basadas en la división sexual del trabajo (productivo/doméstico-reproductivo) debe eliminarse.</w:t>
      </w:r>
    </w:p>
    <w:p w:rsidR="0051056D" w:rsidRDefault="00523867">
      <w:pPr>
        <w:spacing w:before="280" w:after="280"/>
        <w:rPr>
          <w:b/>
          <w:sz w:val="22"/>
          <w:szCs w:val="22"/>
        </w:rPr>
      </w:pPr>
      <w:r>
        <w:rPr>
          <w:b/>
          <w:sz w:val="22"/>
          <w:szCs w:val="22"/>
        </w:rPr>
        <w:t xml:space="preserve">DECRETO 560 DE 2015. “Por medio del cual se adopta la Política Pública Distrital para el Fenómeno de Habitabilidad en Calle y se derogan los Decretos Distritales Nos </w:t>
      </w:r>
      <w:hyperlink r:id="rId15" w:anchor="0">
        <w:r>
          <w:rPr>
            <w:b/>
            <w:sz w:val="22"/>
            <w:szCs w:val="22"/>
          </w:rPr>
          <w:t>136</w:t>
        </w:r>
      </w:hyperlink>
      <w:r>
        <w:rPr>
          <w:b/>
          <w:sz w:val="22"/>
          <w:szCs w:val="22"/>
        </w:rPr>
        <w:t xml:space="preserve"> de 2005 y </w:t>
      </w:r>
      <w:hyperlink r:id="rId16" w:anchor="0">
        <w:r>
          <w:rPr>
            <w:b/>
            <w:sz w:val="22"/>
            <w:szCs w:val="22"/>
          </w:rPr>
          <w:t>170</w:t>
        </w:r>
      </w:hyperlink>
      <w:r>
        <w:rPr>
          <w:b/>
          <w:sz w:val="22"/>
          <w:szCs w:val="22"/>
        </w:rPr>
        <w:t xml:space="preserve"> de 2007”.</w:t>
      </w:r>
    </w:p>
    <w:p w:rsidR="0051056D" w:rsidRDefault="00523867" w:rsidP="00280A85">
      <w:pPr>
        <w:spacing w:before="280" w:after="280"/>
        <w:jc w:val="center"/>
        <w:rPr>
          <w:b/>
          <w:sz w:val="22"/>
          <w:szCs w:val="22"/>
        </w:rPr>
      </w:pPr>
      <w:r>
        <w:rPr>
          <w:b/>
          <w:sz w:val="22"/>
          <w:szCs w:val="22"/>
        </w:rPr>
        <w:t>TÍTULO I</w:t>
      </w:r>
    </w:p>
    <w:p w:rsidR="0051056D" w:rsidRDefault="00523867">
      <w:pPr>
        <w:spacing w:before="280" w:after="280"/>
        <w:jc w:val="center"/>
        <w:rPr>
          <w:b/>
          <w:sz w:val="22"/>
          <w:szCs w:val="22"/>
        </w:rPr>
      </w:pPr>
      <w:r>
        <w:rPr>
          <w:b/>
          <w:sz w:val="22"/>
          <w:szCs w:val="22"/>
        </w:rPr>
        <w:t>ADOPCIÓN, CONCEPTO, ÁMBITO DE APLICACIÓN Y ENFOQUE DE LA POLÍTICA PÚBLICA DISTRITAL PARA EL FENÓMENO DE HABITABILIDAD EN CALLE </w:t>
      </w:r>
    </w:p>
    <w:p w:rsidR="0051056D" w:rsidRDefault="00523867">
      <w:pPr>
        <w:spacing w:before="280" w:after="280"/>
        <w:jc w:val="both"/>
        <w:rPr>
          <w:sz w:val="22"/>
          <w:szCs w:val="22"/>
        </w:rPr>
      </w:pPr>
      <w:r>
        <w:rPr>
          <w:b/>
          <w:sz w:val="22"/>
          <w:szCs w:val="22"/>
        </w:rPr>
        <w:t>Artículo 1°. Objeto.</w:t>
      </w:r>
      <w:r>
        <w:rPr>
          <w:sz w:val="22"/>
          <w:szCs w:val="22"/>
        </w:rPr>
        <w:t xml:space="preserve"> Adáptese la Política Pública Distrital para el Fenómeno de la Habitabilidad en Calle, orientada a la promoción, protección, restablecimiento, garantía y realización de los derechos de las Ciudadanas y los Ciudadanos Habitantes de Calle del Distrito Capital.</w:t>
      </w:r>
    </w:p>
    <w:p w:rsidR="0051056D" w:rsidRDefault="00523867">
      <w:pPr>
        <w:spacing w:before="280" w:after="280"/>
        <w:jc w:val="both"/>
        <w:rPr>
          <w:sz w:val="22"/>
          <w:szCs w:val="22"/>
        </w:rPr>
      </w:pPr>
      <w:r>
        <w:rPr>
          <w:b/>
          <w:sz w:val="22"/>
          <w:szCs w:val="22"/>
        </w:rPr>
        <w:t>Artículo 7°. Componentes y líneas de acción</w:t>
      </w:r>
      <w:r>
        <w:rPr>
          <w:sz w:val="22"/>
          <w:szCs w:val="22"/>
        </w:rPr>
        <w:t>. La Política Pública Distrital para el Fenómeno de Habitabilidad en Calle se estructura a partir de 6 Componentes:</w:t>
      </w:r>
    </w:p>
    <w:p w:rsidR="0051056D" w:rsidRDefault="00523867">
      <w:pPr>
        <w:spacing w:before="280" w:after="280"/>
        <w:jc w:val="both"/>
        <w:rPr>
          <w:sz w:val="22"/>
          <w:szCs w:val="22"/>
        </w:rPr>
      </w:pPr>
      <w:r>
        <w:rPr>
          <w:sz w:val="22"/>
          <w:szCs w:val="22"/>
        </w:rPr>
        <w:t>(…)</w:t>
      </w:r>
      <w:r>
        <w:rPr>
          <w:b/>
          <w:sz w:val="22"/>
          <w:szCs w:val="22"/>
        </w:rPr>
        <w:t>4. Componente Cuatro</w:t>
      </w:r>
      <w:r>
        <w:rPr>
          <w:sz w:val="22"/>
          <w:szCs w:val="22"/>
        </w:rPr>
        <w:t>. Generación de Ingresos, Responsabilidad Social Empresarial y Formación para el Trabajo. (…)</w:t>
      </w:r>
    </w:p>
    <w:p w:rsidR="0051056D" w:rsidRDefault="00523867">
      <w:pPr>
        <w:spacing w:before="280" w:after="280"/>
        <w:jc w:val="both"/>
        <w:rPr>
          <w:sz w:val="22"/>
          <w:szCs w:val="22"/>
        </w:rPr>
      </w:pPr>
      <w:r>
        <w:rPr>
          <w:sz w:val="22"/>
          <w:szCs w:val="22"/>
        </w:rPr>
        <w:t>Acciones recomendadas para la garantía y restablecimiento del derecho a la seguridad económica de las mujeres habitantes de calle. </w:t>
      </w:r>
    </w:p>
    <w:p w:rsidR="0051056D" w:rsidRDefault="00523867">
      <w:pPr>
        <w:spacing w:before="280" w:after="280"/>
        <w:jc w:val="both"/>
        <w:rPr>
          <w:b/>
          <w:sz w:val="22"/>
          <w:szCs w:val="22"/>
        </w:rPr>
      </w:pPr>
      <w:r>
        <w:rPr>
          <w:b/>
          <w:sz w:val="22"/>
          <w:szCs w:val="22"/>
        </w:rPr>
        <w:t>ACUERDO 584 DE 2015. Por medio del cual se adoptan los lineamientos de la política pública de mujeres y equidad de género en el Distrito Capital y se dictan otras disposiciones.</w:t>
      </w:r>
    </w:p>
    <w:p w:rsidR="0051056D" w:rsidRDefault="00523867">
      <w:pPr>
        <w:spacing w:before="280" w:after="280"/>
        <w:jc w:val="both"/>
        <w:rPr>
          <w:sz w:val="22"/>
          <w:szCs w:val="22"/>
        </w:rPr>
      </w:pPr>
      <w:r>
        <w:rPr>
          <w:b/>
          <w:sz w:val="22"/>
          <w:szCs w:val="22"/>
        </w:rPr>
        <w:t>ARTÍCULO 1°. Adopción.</w:t>
      </w:r>
      <w:r>
        <w:rPr>
          <w:sz w:val="22"/>
          <w:szCs w:val="22"/>
        </w:rPr>
        <w:t xml:space="preserve"> El Acuerdo adopta los lineamientos de la Política Pública de Mujeres y Equidad de Género, los cuales buscan contribuir a la eliminación de las condiciones sociales, económicas, culturales y políticas que generan discriminación, desigualdad y subordinación en las mujeres que habitan el territorio rural y urbano de Bogotá D.C., para el ejercicio pleno de sus derechos.</w:t>
      </w:r>
    </w:p>
    <w:p w:rsidR="0051056D" w:rsidRDefault="00523867">
      <w:pPr>
        <w:spacing w:before="280" w:after="280"/>
        <w:jc w:val="both"/>
        <w:rPr>
          <w:sz w:val="22"/>
          <w:szCs w:val="22"/>
        </w:rPr>
      </w:pPr>
      <w:r>
        <w:rPr>
          <w:b/>
          <w:sz w:val="22"/>
          <w:szCs w:val="22"/>
        </w:rPr>
        <w:t>ARTICULO 2°. Enfoques</w:t>
      </w:r>
      <w:r>
        <w:rPr>
          <w:sz w:val="22"/>
          <w:szCs w:val="22"/>
        </w:rPr>
        <w:t>. Los lineamientos de la Política Pública de Mujeres y Equidad de Género de Bogotá D.C., se fundamentan en los siguientes enfoques:</w:t>
      </w:r>
    </w:p>
    <w:p w:rsidR="0051056D" w:rsidRDefault="00523867">
      <w:pPr>
        <w:spacing w:before="280" w:after="280"/>
        <w:jc w:val="both"/>
        <w:rPr>
          <w:sz w:val="22"/>
          <w:szCs w:val="22"/>
        </w:rPr>
      </w:pPr>
      <w:r>
        <w:rPr>
          <w:b/>
          <w:sz w:val="22"/>
          <w:szCs w:val="22"/>
        </w:rPr>
        <w:t>Enfoque de Derechos de las Mujeres</w:t>
      </w:r>
      <w:r>
        <w:rPr>
          <w:sz w:val="22"/>
          <w:szCs w:val="22"/>
        </w:rPr>
        <w:t>. Reconocimiento de la igualdad real y efectiva de los derechos de las mujeres; el Distrito los garantiza y restablece en los casos de vulneración.</w:t>
      </w:r>
    </w:p>
    <w:p w:rsidR="0051056D" w:rsidRDefault="00523867">
      <w:pPr>
        <w:spacing w:before="280" w:after="280"/>
        <w:jc w:val="both"/>
        <w:rPr>
          <w:sz w:val="22"/>
          <w:szCs w:val="22"/>
        </w:rPr>
      </w:pPr>
      <w:r>
        <w:rPr>
          <w:b/>
          <w:sz w:val="22"/>
          <w:szCs w:val="22"/>
        </w:rPr>
        <w:lastRenderedPageBreak/>
        <w:t>Enfoque Diferencial</w:t>
      </w:r>
      <w:r>
        <w:rPr>
          <w:sz w:val="22"/>
          <w:szCs w:val="22"/>
        </w:rPr>
        <w:t>. Reconocimiento y transformación de las desigualdades que impidan el ejercicio pleno de los derechos de las mujeres por razones de raza, etnia, ruralidad, cultura, situación socioeconómica, identidad de género y orientación sexual, ubicación geográfica, discapacidad, religión, ideología y edad. Se concreta en la incorporación de acciones afirmativas para transformar las condiciones de discriminación, desigualdad y subordinación.</w:t>
      </w:r>
    </w:p>
    <w:p w:rsidR="0051056D" w:rsidRDefault="00523867">
      <w:pPr>
        <w:spacing w:before="280" w:after="280"/>
        <w:jc w:val="both"/>
        <w:rPr>
          <w:sz w:val="22"/>
          <w:szCs w:val="22"/>
        </w:rPr>
      </w:pPr>
      <w:r>
        <w:rPr>
          <w:b/>
          <w:sz w:val="22"/>
          <w:szCs w:val="22"/>
        </w:rPr>
        <w:t>Enfoque de Género.</w:t>
      </w:r>
      <w:r>
        <w:rPr>
          <w:sz w:val="22"/>
          <w:szCs w:val="22"/>
        </w:rPr>
        <w:t xml:space="preserve"> Reconocimiento y transformación de las relaciones de poder jerarquizadas que subordinan a las mujeres, producen discriminación y desigualdad de género, lo cual debe eliminarse.</w:t>
      </w:r>
    </w:p>
    <w:p w:rsidR="0051056D" w:rsidRDefault="00523867">
      <w:pPr>
        <w:numPr>
          <w:ilvl w:val="0"/>
          <w:numId w:val="1"/>
        </w:numPr>
        <w:jc w:val="both"/>
        <w:rPr>
          <w:sz w:val="22"/>
          <w:szCs w:val="22"/>
        </w:rPr>
      </w:pPr>
      <w:r>
        <w:rPr>
          <w:b/>
          <w:sz w:val="22"/>
          <w:szCs w:val="22"/>
          <w:u w:val="single"/>
        </w:rPr>
        <w:t>COMPETENCIA DEL CONCEJO DE BOGOTÁ</w:t>
      </w:r>
    </w:p>
    <w:p w:rsidR="0051056D" w:rsidRDefault="0051056D">
      <w:pPr>
        <w:jc w:val="both"/>
        <w:rPr>
          <w:b/>
          <w:sz w:val="22"/>
          <w:szCs w:val="22"/>
          <w:u w:val="single"/>
        </w:rPr>
      </w:pPr>
    </w:p>
    <w:p w:rsidR="0051056D" w:rsidRDefault="0051056D">
      <w:pPr>
        <w:jc w:val="both"/>
        <w:rPr>
          <w:b/>
          <w:sz w:val="22"/>
          <w:szCs w:val="22"/>
          <w:u w:val="single"/>
        </w:rPr>
      </w:pPr>
    </w:p>
    <w:p w:rsidR="0051056D" w:rsidRDefault="00523867">
      <w:pPr>
        <w:jc w:val="both"/>
        <w:rPr>
          <w:b/>
          <w:sz w:val="22"/>
          <w:szCs w:val="22"/>
          <w:u w:val="single"/>
        </w:rPr>
      </w:pPr>
      <w:r>
        <w:rPr>
          <w:b/>
          <w:sz w:val="22"/>
          <w:szCs w:val="22"/>
          <w:u w:val="single"/>
        </w:rPr>
        <w:t>DECRETO LEY 1421 de 1993 “Estatuto Orgánico de Bogotá”</w:t>
      </w:r>
    </w:p>
    <w:p w:rsidR="0051056D" w:rsidRDefault="0051056D">
      <w:pPr>
        <w:jc w:val="both"/>
        <w:rPr>
          <w:b/>
          <w:sz w:val="22"/>
          <w:szCs w:val="22"/>
        </w:rPr>
      </w:pPr>
    </w:p>
    <w:p w:rsidR="0051056D" w:rsidRDefault="00523867">
      <w:pPr>
        <w:jc w:val="both"/>
        <w:rPr>
          <w:sz w:val="22"/>
          <w:szCs w:val="22"/>
        </w:rPr>
      </w:pPr>
      <w:r>
        <w:rPr>
          <w:b/>
          <w:sz w:val="22"/>
          <w:szCs w:val="22"/>
        </w:rPr>
        <w:t xml:space="preserve">Artículo 12. </w:t>
      </w:r>
      <w:r>
        <w:rPr>
          <w:sz w:val="22"/>
          <w:szCs w:val="22"/>
        </w:rPr>
        <w:t>Atribuciones. Corresponde al Concejo Distrital, de conformidad con la Constitución y la ley: (...)</w:t>
      </w:r>
    </w:p>
    <w:p w:rsidR="0051056D" w:rsidRDefault="0051056D">
      <w:pPr>
        <w:jc w:val="both"/>
        <w:rPr>
          <w:sz w:val="22"/>
          <w:szCs w:val="22"/>
        </w:rPr>
      </w:pPr>
    </w:p>
    <w:p w:rsidR="0051056D" w:rsidRDefault="00523867">
      <w:pPr>
        <w:numPr>
          <w:ilvl w:val="0"/>
          <w:numId w:val="3"/>
        </w:numPr>
        <w:jc w:val="both"/>
        <w:rPr>
          <w:sz w:val="22"/>
          <w:szCs w:val="22"/>
        </w:rPr>
      </w:pPr>
      <w:r>
        <w:rPr>
          <w:sz w:val="22"/>
          <w:szCs w:val="22"/>
        </w:rPr>
        <w:t>Dictar las normas necesarias para garantizar el adecuado cumplimiento de las funciones y la eficiente prestación de los servicios a cargo del Distrito.</w:t>
      </w:r>
    </w:p>
    <w:p w:rsidR="0051056D" w:rsidRDefault="0051056D">
      <w:pPr>
        <w:ind w:left="1440"/>
        <w:jc w:val="both"/>
        <w:rPr>
          <w:b/>
          <w:sz w:val="22"/>
          <w:szCs w:val="22"/>
        </w:rPr>
      </w:pPr>
    </w:p>
    <w:p w:rsidR="0051056D" w:rsidRDefault="0051056D">
      <w:pPr>
        <w:jc w:val="both"/>
        <w:rPr>
          <w:b/>
          <w:sz w:val="22"/>
          <w:szCs w:val="22"/>
        </w:rPr>
      </w:pPr>
    </w:p>
    <w:p w:rsidR="0051056D" w:rsidRDefault="00523867">
      <w:pPr>
        <w:numPr>
          <w:ilvl w:val="0"/>
          <w:numId w:val="1"/>
        </w:numPr>
        <w:pBdr>
          <w:top w:val="nil"/>
          <w:left w:val="nil"/>
          <w:bottom w:val="nil"/>
          <w:right w:val="nil"/>
          <w:between w:val="nil"/>
        </w:pBdr>
        <w:jc w:val="both"/>
        <w:rPr>
          <w:b/>
          <w:sz w:val="22"/>
          <w:szCs w:val="22"/>
          <w:u w:val="single"/>
        </w:rPr>
      </w:pPr>
      <w:r>
        <w:rPr>
          <w:b/>
          <w:sz w:val="22"/>
          <w:szCs w:val="22"/>
          <w:u w:val="single"/>
        </w:rPr>
        <w:t>IMPACTO FISCAL</w:t>
      </w:r>
    </w:p>
    <w:p w:rsidR="0051056D" w:rsidRDefault="0051056D">
      <w:pPr>
        <w:jc w:val="both"/>
        <w:rPr>
          <w:b/>
          <w:sz w:val="22"/>
          <w:szCs w:val="22"/>
          <w:u w:val="single"/>
        </w:rPr>
      </w:pPr>
    </w:p>
    <w:p w:rsidR="0051056D" w:rsidRDefault="00523867">
      <w:pPr>
        <w:jc w:val="both"/>
        <w:rPr>
          <w:sz w:val="22"/>
          <w:szCs w:val="22"/>
        </w:rPr>
      </w:pPr>
      <w:r>
        <w:rPr>
          <w:sz w:val="22"/>
          <w:szCs w:val="22"/>
        </w:rPr>
        <w:t xml:space="preserve">El proyecto de acuerdo argumenta que la iniciativa no genera impacto fiscal al no significar un incremento en el presupuesto del distrito ni la necesidad de generar nuevas fuentes de financiación, y que este será financiado por “presupuestos definidos en las diferentes entidades y de acuerdo a lo dispuesto en el Plan de Desarrollo Distrital 2020 - 2024”. </w:t>
      </w:r>
    </w:p>
    <w:p w:rsidR="0051056D" w:rsidRDefault="0051056D">
      <w:pPr>
        <w:jc w:val="both"/>
        <w:rPr>
          <w:sz w:val="22"/>
          <w:szCs w:val="22"/>
        </w:rPr>
      </w:pPr>
    </w:p>
    <w:p w:rsidR="0051056D" w:rsidRDefault="00523867">
      <w:pPr>
        <w:numPr>
          <w:ilvl w:val="0"/>
          <w:numId w:val="1"/>
        </w:numPr>
        <w:pBdr>
          <w:top w:val="nil"/>
          <w:left w:val="nil"/>
          <w:bottom w:val="nil"/>
          <w:right w:val="nil"/>
          <w:between w:val="nil"/>
        </w:pBdr>
        <w:jc w:val="both"/>
        <w:rPr>
          <w:b/>
          <w:sz w:val="22"/>
          <w:szCs w:val="22"/>
          <w:u w:val="single"/>
        </w:rPr>
      </w:pPr>
      <w:r>
        <w:rPr>
          <w:b/>
          <w:sz w:val="22"/>
          <w:szCs w:val="22"/>
          <w:u w:val="single"/>
        </w:rPr>
        <w:t>CONSIDERACIONES DEL PONENTE</w:t>
      </w:r>
    </w:p>
    <w:p w:rsidR="0051056D" w:rsidRDefault="0051056D">
      <w:pPr>
        <w:jc w:val="both"/>
        <w:rPr>
          <w:b/>
          <w:sz w:val="22"/>
          <w:szCs w:val="22"/>
          <w:u w:val="single"/>
        </w:rPr>
      </w:pPr>
    </w:p>
    <w:p w:rsidR="0051056D" w:rsidRDefault="00523867">
      <w:pPr>
        <w:jc w:val="both"/>
        <w:rPr>
          <w:sz w:val="22"/>
          <w:szCs w:val="22"/>
        </w:rPr>
      </w:pPr>
      <w:r>
        <w:rPr>
          <w:sz w:val="22"/>
          <w:szCs w:val="22"/>
        </w:rPr>
        <w:t xml:space="preserve">El fenómeno de la habitación de la calle es impactante. En Bogotá, la “entrada” a este fuerte mundo se realiza a cualquier edad y con un sinfín de situaciones justificadas por cada una de las personas que lastimosamente viven este proceso y se encuentran obligadas a vivir en la calle. Las mujeres habitantes de calle enfrentan a diario múltiples desafíos incluyendo violencia, pobreza extrema, exclusión social y una evidente falta de acceso a los servicios de salud y de justicia. Por lo que la implementación de esta ruta tiene una serie de beneficios que pueden transformar su situación y de esa manera mejorar su calidad de vida.  </w:t>
      </w:r>
    </w:p>
    <w:p w:rsidR="0051056D" w:rsidRDefault="0051056D">
      <w:pPr>
        <w:jc w:val="both"/>
        <w:rPr>
          <w:sz w:val="22"/>
          <w:szCs w:val="22"/>
        </w:rPr>
      </w:pPr>
    </w:p>
    <w:p w:rsidR="0051056D" w:rsidRDefault="00523867">
      <w:pPr>
        <w:jc w:val="both"/>
        <w:rPr>
          <w:sz w:val="22"/>
          <w:szCs w:val="22"/>
        </w:rPr>
      </w:pPr>
      <w:r>
        <w:rPr>
          <w:sz w:val="22"/>
          <w:szCs w:val="22"/>
        </w:rPr>
        <w:t xml:space="preserve">La corte constitucional se ha pronunciado “a favor la defensa de la libertad individual, el libre desarrollo de la personalidad y el tratamiento digno que se debe prestar a las personas </w:t>
      </w:r>
      <w:r>
        <w:rPr>
          <w:sz w:val="22"/>
          <w:szCs w:val="22"/>
        </w:rPr>
        <w:lastRenderedPageBreak/>
        <w:t xml:space="preserve">que habitan las calles, lo que quiere decir, que la </w:t>
      </w:r>
      <w:proofErr w:type="spellStart"/>
      <w:r>
        <w:rPr>
          <w:sz w:val="22"/>
          <w:szCs w:val="22"/>
        </w:rPr>
        <w:t>habitanza</w:t>
      </w:r>
      <w:proofErr w:type="spellEnd"/>
      <w:r>
        <w:rPr>
          <w:sz w:val="22"/>
          <w:szCs w:val="22"/>
        </w:rPr>
        <w:t xml:space="preserve"> de calle”</w:t>
      </w:r>
      <w:r>
        <w:rPr>
          <w:sz w:val="22"/>
          <w:szCs w:val="22"/>
          <w:vertAlign w:val="superscript"/>
        </w:rPr>
        <w:footnoteReference w:id="2"/>
      </w:r>
      <w:r>
        <w:rPr>
          <w:sz w:val="22"/>
          <w:szCs w:val="22"/>
        </w:rPr>
        <w:t>, debe ser vista como una opción de vida respetable que podría escoger cualquier ciudadano, y el Estado debe brindar las garantías necesarias para que los derechos de quienes eligen esta opción, no sean vulnerados.</w:t>
      </w:r>
    </w:p>
    <w:p w:rsidR="0051056D" w:rsidRDefault="0051056D">
      <w:pPr>
        <w:jc w:val="both"/>
        <w:rPr>
          <w:sz w:val="22"/>
          <w:szCs w:val="22"/>
        </w:rPr>
      </w:pPr>
    </w:p>
    <w:p w:rsidR="0051056D" w:rsidRDefault="00523867">
      <w:pPr>
        <w:jc w:val="both"/>
        <w:rPr>
          <w:sz w:val="22"/>
          <w:szCs w:val="22"/>
        </w:rPr>
      </w:pPr>
      <w:r>
        <w:rPr>
          <w:sz w:val="22"/>
          <w:szCs w:val="22"/>
        </w:rPr>
        <w:t>De allí que la desigualdad también es punto clave a combatir, manifestándose mediante el acceso a bienes y servicios directamente del Estado. Las habitantes de calle son el resultado humano más ilustre de la desigualdad colombiana, pues son la población más violentada frente al machismo en la capital. Por ende, a raíz de toda la problemática expuesta en el presente proyecto de acuerdo, se considera sumamente necesario realizar una difusión y sensibilización, lo que se trataría entonces de crear campañas de sensibilización sobre la existencia de esta ruta de atención, tanto para la comunidad en general como para las propias mujeres en situación de calle. Las campañas deben ser inclusivas, accesibles y respetuosas de las realidades de las mujeres en habitabilidad de calle en Bogotá.</w:t>
      </w:r>
    </w:p>
    <w:p w:rsidR="0051056D" w:rsidRDefault="0051056D">
      <w:pPr>
        <w:jc w:val="both"/>
        <w:rPr>
          <w:sz w:val="22"/>
          <w:szCs w:val="22"/>
        </w:rPr>
      </w:pPr>
    </w:p>
    <w:p w:rsidR="0051056D" w:rsidRDefault="00523867">
      <w:pPr>
        <w:jc w:val="both"/>
        <w:rPr>
          <w:sz w:val="22"/>
          <w:szCs w:val="22"/>
        </w:rPr>
      </w:pPr>
      <w:r>
        <w:rPr>
          <w:sz w:val="22"/>
          <w:szCs w:val="22"/>
        </w:rPr>
        <w:t>Finalmente, una ruta de atención integral para mujeres habitantes de calle en Bogotá no solo es una intervención social crucial, sino una estrategia integral que aborda de manera directa y profunda las múltiples dimensiones de la pobreza, la violencia de género, y la exclusión social. Garantizar la protección, la salud, el acceso a la justicia y la oportunidad de reintegración social para estas mujeres no solo mejora su calidad de vida, sino que contribuye a una sociedad más equitativa, respetuosa y cohesionada.</w:t>
      </w:r>
    </w:p>
    <w:p w:rsidR="0051056D" w:rsidRDefault="0051056D">
      <w:pPr>
        <w:jc w:val="both"/>
        <w:rPr>
          <w:sz w:val="22"/>
          <w:szCs w:val="22"/>
        </w:rPr>
      </w:pPr>
    </w:p>
    <w:p w:rsidR="0051056D" w:rsidRDefault="00523867">
      <w:pPr>
        <w:jc w:val="both"/>
        <w:rPr>
          <w:sz w:val="22"/>
          <w:szCs w:val="22"/>
        </w:rPr>
      </w:pPr>
      <w:r>
        <w:rPr>
          <w:sz w:val="22"/>
          <w:szCs w:val="22"/>
        </w:rPr>
        <w:t>En ese sentido, y con los argumentos expuestos en cuanto a la necesidad de implementar una ruta de atención integral para mujeres habitantes de la calle en Bogotá, se considera necesario y pertinente avanzar con el presente proyecto presentado por el concejal Andrés García.</w:t>
      </w:r>
    </w:p>
    <w:p w:rsidR="0051056D" w:rsidRDefault="0051056D">
      <w:pPr>
        <w:jc w:val="both"/>
        <w:rPr>
          <w:sz w:val="22"/>
          <w:szCs w:val="22"/>
          <w:highlight w:val="white"/>
        </w:rPr>
      </w:pPr>
    </w:p>
    <w:p w:rsidR="0051056D" w:rsidRDefault="00523867">
      <w:pPr>
        <w:numPr>
          <w:ilvl w:val="0"/>
          <w:numId w:val="1"/>
        </w:numPr>
        <w:pBdr>
          <w:top w:val="nil"/>
          <w:left w:val="nil"/>
          <w:bottom w:val="nil"/>
          <w:right w:val="nil"/>
          <w:between w:val="nil"/>
        </w:pBdr>
        <w:jc w:val="both"/>
        <w:rPr>
          <w:b/>
          <w:sz w:val="22"/>
          <w:szCs w:val="22"/>
          <w:highlight w:val="white"/>
          <w:u w:val="single"/>
        </w:rPr>
      </w:pPr>
      <w:r>
        <w:rPr>
          <w:b/>
          <w:sz w:val="22"/>
          <w:szCs w:val="22"/>
          <w:highlight w:val="white"/>
          <w:u w:val="single"/>
        </w:rPr>
        <w:t>CONCLUSIONES</w:t>
      </w:r>
    </w:p>
    <w:p w:rsidR="0051056D" w:rsidRDefault="0051056D">
      <w:pPr>
        <w:jc w:val="both"/>
        <w:rPr>
          <w:b/>
          <w:sz w:val="22"/>
          <w:szCs w:val="22"/>
          <w:highlight w:val="white"/>
          <w:u w:val="single"/>
        </w:rPr>
      </w:pPr>
    </w:p>
    <w:p w:rsidR="0051056D" w:rsidRDefault="00523867">
      <w:pPr>
        <w:jc w:val="both"/>
        <w:rPr>
          <w:i/>
          <w:sz w:val="22"/>
          <w:szCs w:val="22"/>
        </w:rPr>
      </w:pPr>
      <w:r>
        <w:rPr>
          <w:sz w:val="22"/>
          <w:szCs w:val="22"/>
          <w:highlight w:val="white"/>
        </w:rPr>
        <w:t xml:space="preserve">Teniendo en cuenta las consideraciones planteadas y los argumentos sostenidos, </w:t>
      </w:r>
      <w:r>
        <w:rPr>
          <w:sz w:val="22"/>
          <w:szCs w:val="22"/>
        </w:rPr>
        <w:t xml:space="preserve">me permito rendir </w:t>
      </w:r>
      <w:r>
        <w:rPr>
          <w:b/>
          <w:sz w:val="22"/>
          <w:szCs w:val="22"/>
        </w:rPr>
        <w:t xml:space="preserve">PONENCIA POSITIVA </w:t>
      </w:r>
      <w:r>
        <w:rPr>
          <w:sz w:val="22"/>
          <w:szCs w:val="22"/>
        </w:rPr>
        <w:t xml:space="preserve">al Proyecto de Acuerdo 192 de 2025, </w:t>
      </w:r>
      <w:r>
        <w:rPr>
          <w:b/>
          <w:i/>
          <w:sz w:val="22"/>
          <w:szCs w:val="22"/>
        </w:rPr>
        <w:t>“POR MEDIO DEL CUAL SE CREA LA</w:t>
      </w:r>
      <w:r>
        <w:rPr>
          <w:sz w:val="22"/>
          <w:szCs w:val="22"/>
        </w:rPr>
        <w:t xml:space="preserve"> </w:t>
      </w:r>
      <w:r>
        <w:rPr>
          <w:b/>
          <w:i/>
          <w:sz w:val="22"/>
          <w:szCs w:val="22"/>
        </w:rPr>
        <w:t>RUTA DE ATENCIÓN INTEGRAL PARA MUJERES HABITANTES DE LA CALLE EN EL DISTRITO CAPITAL Y SE DICTAN OTRAS DISPOSICIONES</w:t>
      </w:r>
      <w:r>
        <w:rPr>
          <w:i/>
          <w:sz w:val="22"/>
          <w:szCs w:val="22"/>
        </w:rPr>
        <w:t>”.</w:t>
      </w:r>
    </w:p>
    <w:p w:rsidR="0051056D" w:rsidRDefault="0051056D">
      <w:pPr>
        <w:jc w:val="both"/>
        <w:rPr>
          <w:sz w:val="22"/>
          <w:szCs w:val="22"/>
          <w:highlight w:val="white"/>
        </w:rPr>
      </w:pPr>
    </w:p>
    <w:p w:rsidR="0051056D" w:rsidRDefault="00523867">
      <w:pPr>
        <w:jc w:val="both"/>
        <w:rPr>
          <w:sz w:val="22"/>
          <w:szCs w:val="22"/>
          <w:highlight w:val="white"/>
        </w:rPr>
      </w:pPr>
      <w:r>
        <w:rPr>
          <w:sz w:val="22"/>
          <w:szCs w:val="22"/>
          <w:highlight w:val="white"/>
        </w:rPr>
        <w:t xml:space="preserve">Cordialmente, </w:t>
      </w:r>
    </w:p>
    <w:p w:rsidR="0051056D" w:rsidRDefault="0051056D">
      <w:pPr>
        <w:jc w:val="both"/>
        <w:rPr>
          <w:sz w:val="22"/>
          <w:szCs w:val="22"/>
          <w:highlight w:val="white"/>
        </w:rPr>
      </w:pPr>
    </w:p>
    <w:p w:rsidR="0051056D" w:rsidRDefault="0051056D">
      <w:pPr>
        <w:jc w:val="both"/>
        <w:rPr>
          <w:sz w:val="22"/>
          <w:szCs w:val="22"/>
          <w:highlight w:val="white"/>
        </w:rPr>
      </w:pPr>
    </w:p>
    <w:p w:rsidR="0051056D" w:rsidRDefault="0051056D">
      <w:pPr>
        <w:jc w:val="both"/>
        <w:rPr>
          <w:sz w:val="22"/>
          <w:szCs w:val="22"/>
          <w:highlight w:val="white"/>
        </w:rPr>
      </w:pPr>
    </w:p>
    <w:p w:rsidR="0051056D" w:rsidRDefault="0051056D">
      <w:pPr>
        <w:jc w:val="both"/>
        <w:rPr>
          <w:sz w:val="22"/>
          <w:szCs w:val="22"/>
          <w:highlight w:val="white"/>
        </w:rPr>
      </w:pPr>
    </w:p>
    <w:p w:rsidR="0051056D" w:rsidRDefault="00523867">
      <w:pPr>
        <w:jc w:val="both"/>
        <w:rPr>
          <w:sz w:val="22"/>
          <w:szCs w:val="22"/>
          <w:highlight w:val="white"/>
        </w:rPr>
      </w:pPr>
      <w:r>
        <w:rPr>
          <w:noProof/>
          <w:lang w:val="es-419" w:eastAsia="es-419"/>
        </w:rPr>
        <mc:AlternateContent>
          <mc:Choice Requires="wpg">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127000</wp:posOffset>
                </wp:positionV>
                <wp:extent cx="2409825" cy="28575"/>
                <wp:effectExtent l="0" t="0" r="0" b="0"/>
                <wp:wrapNone/>
                <wp:docPr id="11" name="Conector recto de flecha 11"/>
                <wp:cNvGraphicFramePr/>
                <a:graphic xmlns:a="http://schemas.openxmlformats.org/drawingml/2006/main">
                  <a:graphicData uri="http://schemas.microsoft.com/office/word/2010/wordprocessingShape">
                    <wps:wsp>
                      <wps:cNvCnPr/>
                      <wps:spPr>
                        <a:xfrm rot="10800000" flipH="1">
                          <a:off x="4145850" y="3770475"/>
                          <a:ext cx="2400300" cy="1905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1="http://schemas.microsoft.com/office/drawing/2015/9/8/chartex"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127000</wp:posOffset>
                </wp:positionV>
                <wp:extent cx="2409825" cy="28575"/>
                <wp:effectExtent b="0" l="0" r="0" t="0"/>
                <wp:wrapNone/>
                <wp:docPr id="1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409825" cy="28575"/>
                        </a:xfrm>
                        <a:prstGeom prst="rect"/>
                        <a:ln/>
                      </pic:spPr>
                    </pic:pic>
                  </a:graphicData>
                </a:graphic>
              </wp:anchor>
            </w:drawing>
          </mc:Fallback>
        </mc:AlternateContent>
      </w:r>
    </w:p>
    <w:p w:rsidR="0051056D" w:rsidRDefault="00523867">
      <w:pPr>
        <w:jc w:val="both"/>
        <w:rPr>
          <w:b/>
          <w:sz w:val="22"/>
          <w:szCs w:val="22"/>
          <w:highlight w:val="white"/>
        </w:rPr>
      </w:pPr>
      <w:r>
        <w:rPr>
          <w:b/>
          <w:sz w:val="22"/>
          <w:szCs w:val="22"/>
          <w:highlight w:val="white"/>
        </w:rPr>
        <w:t xml:space="preserve">GERMÁN AUGUSTO GARCÍA MAYA                             </w:t>
      </w:r>
      <w:r>
        <w:rPr>
          <w:sz w:val="22"/>
          <w:szCs w:val="22"/>
          <w:highlight w:val="white"/>
        </w:rPr>
        <w:t xml:space="preserve">                            </w:t>
      </w:r>
    </w:p>
    <w:p w:rsidR="0051056D" w:rsidRDefault="00523867">
      <w:pPr>
        <w:jc w:val="both"/>
        <w:rPr>
          <w:sz w:val="22"/>
          <w:szCs w:val="22"/>
          <w:highlight w:val="white"/>
        </w:rPr>
      </w:pPr>
      <w:r>
        <w:rPr>
          <w:sz w:val="22"/>
          <w:szCs w:val="22"/>
          <w:highlight w:val="white"/>
        </w:rPr>
        <w:t>Coordinador ponente</w:t>
      </w:r>
    </w:p>
    <w:sectPr w:rsidR="0051056D">
      <w:headerReference w:type="default" r:id="rId17"/>
      <w:footerReference w:type="even" r:id="rId18"/>
      <w:footerReference w:type="default" r:id="rId19"/>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867" w:rsidRDefault="00523867">
      <w:r>
        <w:separator/>
      </w:r>
    </w:p>
  </w:endnote>
  <w:endnote w:type="continuationSeparator" w:id="0">
    <w:p w:rsidR="00523867" w:rsidRDefault="0052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6D" w:rsidRDefault="00523867">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51056D" w:rsidRDefault="0051056D">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6D" w:rsidRDefault="0051056D">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867" w:rsidRDefault="00523867">
      <w:r>
        <w:separator/>
      </w:r>
    </w:p>
  </w:footnote>
  <w:footnote w:type="continuationSeparator" w:id="0">
    <w:p w:rsidR="00523867" w:rsidRDefault="00523867">
      <w:r>
        <w:continuationSeparator/>
      </w:r>
    </w:p>
  </w:footnote>
  <w:footnote w:id="1">
    <w:p w:rsidR="0051056D" w:rsidRDefault="00523867">
      <w:pPr>
        <w:pBdr>
          <w:top w:val="nil"/>
          <w:left w:val="nil"/>
          <w:bottom w:val="nil"/>
          <w:right w:val="nil"/>
          <w:between w:val="nil"/>
        </w:pBdr>
        <w:rPr>
          <w:sz w:val="16"/>
          <w:szCs w:val="16"/>
        </w:rPr>
      </w:pPr>
      <w:r>
        <w:rPr>
          <w:vertAlign w:val="superscript"/>
        </w:rPr>
        <w:footnoteRef/>
      </w:r>
      <w:r>
        <w:rPr>
          <w:sz w:val="20"/>
          <w:szCs w:val="20"/>
        </w:rPr>
        <w:t xml:space="preserve"> </w:t>
      </w:r>
      <w:r>
        <w:rPr>
          <w:sz w:val="16"/>
          <w:szCs w:val="16"/>
        </w:rPr>
        <w:t xml:space="preserve">Los riegos de ser mujer habitante de calle - </w:t>
      </w:r>
      <w:hyperlink r:id="rId1">
        <w:r>
          <w:rPr>
            <w:color w:val="0000FF"/>
            <w:sz w:val="16"/>
            <w:szCs w:val="16"/>
            <w:u w:val="single"/>
          </w:rPr>
          <w:t>https://www.elespectador.com/responsabilidad-social/impacto-mujer/los-riesgos-de-ser-mujer-habitante-de-calle/</w:t>
        </w:r>
      </w:hyperlink>
    </w:p>
    <w:p w:rsidR="0051056D" w:rsidRDefault="0051056D">
      <w:pPr>
        <w:pBdr>
          <w:top w:val="nil"/>
          <w:left w:val="nil"/>
          <w:bottom w:val="nil"/>
          <w:right w:val="nil"/>
          <w:between w:val="nil"/>
        </w:pBdr>
        <w:rPr>
          <w:sz w:val="20"/>
          <w:szCs w:val="20"/>
        </w:rPr>
      </w:pPr>
    </w:p>
  </w:footnote>
  <w:footnote w:id="2">
    <w:p w:rsidR="0051056D" w:rsidRDefault="00523867">
      <w:pPr>
        <w:pBdr>
          <w:top w:val="nil"/>
          <w:left w:val="nil"/>
          <w:bottom w:val="nil"/>
          <w:right w:val="nil"/>
          <w:between w:val="nil"/>
        </w:pBdr>
        <w:rPr>
          <w:sz w:val="20"/>
          <w:szCs w:val="20"/>
        </w:rPr>
      </w:pPr>
      <w:r>
        <w:rPr>
          <w:vertAlign w:val="superscript"/>
        </w:rPr>
        <w:footnoteRef/>
      </w:r>
      <w:r>
        <w:rPr>
          <w:sz w:val="20"/>
          <w:szCs w:val="20"/>
        </w:rPr>
        <w:t xml:space="preserve"> </w:t>
      </w:r>
      <w:r>
        <w:rPr>
          <w:sz w:val="16"/>
          <w:szCs w:val="16"/>
        </w:rPr>
        <w:t>Corte Constitucional de Colombia, Sentencia T-043/15</w:t>
      </w:r>
    </w:p>
    <w:p w:rsidR="0051056D" w:rsidRDefault="0051056D">
      <w:pPr>
        <w:pBdr>
          <w:top w:val="nil"/>
          <w:left w:val="nil"/>
          <w:bottom w:val="nil"/>
          <w:right w:val="nil"/>
          <w:between w:val="nil"/>
        </w:pBdr>
        <w:rPr>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6D" w:rsidRDefault="0051056D">
    <w:pPr>
      <w:widowControl w:val="0"/>
      <w:pBdr>
        <w:top w:val="nil"/>
        <w:left w:val="nil"/>
        <w:bottom w:val="nil"/>
        <w:right w:val="nil"/>
        <w:between w:val="nil"/>
      </w:pBdr>
      <w:spacing w:line="276" w:lineRule="auto"/>
      <w:rPr>
        <w:sz w:val="20"/>
        <w:szCs w:val="20"/>
      </w:rPr>
    </w:pPr>
  </w:p>
  <w:tbl>
    <w:tblPr>
      <w:tblStyle w:val="a1"/>
      <w:tblW w:w="8830" w:type="dxa"/>
      <w:tblInd w:w="0" w:type="dxa"/>
      <w:tblLayout w:type="fixed"/>
      <w:tblLook w:val="0000" w:firstRow="0" w:lastRow="0" w:firstColumn="0" w:lastColumn="0" w:noHBand="0" w:noVBand="0"/>
    </w:tblPr>
    <w:tblGrid>
      <w:gridCol w:w="2361"/>
      <w:gridCol w:w="4235"/>
      <w:gridCol w:w="2234"/>
    </w:tblGrid>
    <w:tr w:rsidR="0051056D">
      <w:trPr>
        <w:trHeight w:val="454"/>
      </w:trPr>
      <w:tc>
        <w:tcPr>
          <w:tcW w:w="2361" w:type="dxa"/>
          <w:vMerge w:val="restart"/>
          <w:tcBorders>
            <w:top w:val="single" w:sz="4" w:space="0" w:color="000000"/>
            <w:left w:val="single" w:sz="4" w:space="0" w:color="000000"/>
            <w:right w:val="single" w:sz="4" w:space="0" w:color="000000"/>
          </w:tcBorders>
          <w:vAlign w:val="center"/>
        </w:tcPr>
        <w:p w:rsidR="0051056D" w:rsidRDefault="0051056D">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51056D" w:rsidRDefault="00523867">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51056D" w:rsidRDefault="00523867">
          <w:pPr>
            <w:rPr>
              <w:sz w:val="16"/>
              <w:szCs w:val="16"/>
            </w:rPr>
          </w:pPr>
          <w:r>
            <w:rPr>
              <w:sz w:val="16"/>
              <w:szCs w:val="16"/>
            </w:rPr>
            <w:t>CÓDIGO</w:t>
          </w:r>
          <w:r>
            <w:rPr>
              <w:color w:val="3366FF"/>
              <w:sz w:val="16"/>
              <w:szCs w:val="16"/>
            </w:rPr>
            <w:t xml:space="preserve">: </w:t>
          </w:r>
          <w:r>
            <w:rPr>
              <w:sz w:val="16"/>
              <w:szCs w:val="16"/>
            </w:rPr>
            <w:t>GNV-FO-003</w:t>
          </w:r>
        </w:p>
      </w:tc>
    </w:tr>
    <w:tr w:rsidR="0051056D">
      <w:trPr>
        <w:trHeight w:val="454"/>
      </w:trPr>
      <w:tc>
        <w:tcPr>
          <w:tcW w:w="2361" w:type="dxa"/>
          <w:vMerge/>
          <w:tcBorders>
            <w:top w:val="single" w:sz="4" w:space="0" w:color="000000"/>
            <w:left w:val="single" w:sz="4" w:space="0" w:color="000000"/>
            <w:right w:val="single" w:sz="4" w:space="0" w:color="000000"/>
          </w:tcBorders>
          <w:vAlign w:val="center"/>
        </w:tcPr>
        <w:p w:rsidR="0051056D" w:rsidRDefault="0051056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51056D" w:rsidRDefault="00523867">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51056D" w:rsidRDefault="00523867">
          <w:pPr>
            <w:rPr>
              <w:sz w:val="16"/>
              <w:szCs w:val="16"/>
            </w:rPr>
          </w:pPr>
          <w:r>
            <w:rPr>
              <w:sz w:val="16"/>
              <w:szCs w:val="16"/>
            </w:rPr>
            <w:t>VERSIÓN:    01</w:t>
          </w:r>
        </w:p>
      </w:tc>
    </w:tr>
    <w:tr w:rsidR="0051056D">
      <w:trPr>
        <w:trHeight w:val="454"/>
      </w:trPr>
      <w:tc>
        <w:tcPr>
          <w:tcW w:w="2361" w:type="dxa"/>
          <w:vMerge/>
          <w:tcBorders>
            <w:top w:val="single" w:sz="4" w:space="0" w:color="000000"/>
            <w:left w:val="single" w:sz="4" w:space="0" w:color="000000"/>
            <w:right w:val="single" w:sz="4" w:space="0" w:color="000000"/>
          </w:tcBorders>
          <w:vAlign w:val="center"/>
        </w:tcPr>
        <w:p w:rsidR="0051056D" w:rsidRDefault="0051056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51056D" w:rsidRDefault="0051056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51056D" w:rsidRDefault="00523867">
          <w:pPr>
            <w:rPr>
              <w:sz w:val="16"/>
              <w:szCs w:val="16"/>
            </w:rPr>
          </w:pPr>
          <w:r>
            <w:rPr>
              <w:sz w:val="16"/>
              <w:szCs w:val="16"/>
            </w:rPr>
            <w:t>FECHA: 14-Nov-2019</w:t>
          </w:r>
        </w:p>
      </w:tc>
    </w:tr>
  </w:tbl>
  <w:p w:rsidR="0051056D" w:rsidRDefault="00523867">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-895348</wp:posOffset>
          </wp:positionV>
          <wp:extent cx="752475" cy="885825"/>
          <wp:effectExtent l="0" t="0" r="0" b="0"/>
          <wp:wrapNone/>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15373"/>
    <w:multiLevelType w:val="multilevel"/>
    <w:tmpl w:val="39445E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95232A"/>
    <w:multiLevelType w:val="multilevel"/>
    <w:tmpl w:val="940278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95B25C7"/>
    <w:multiLevelType w:val="multilevel"/>
    <w:tmpl w:val="DBE8E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3E61D9F"/>
    <w:multiLevelType w:val="multilevel"/>
    <w:tmpl w:val="08224C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7DF7CD4"/>
    <w:multiLevelType w:val="multilevel"/>
    <w:tmpl w:val="6352C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56D"/>
    <w:rsid w:val="00280A85"/>
    <w:rsid w:val="00417221"/>
    <w:rsid w:val="0051056D"/>
    <w:rsid w:val="00523867"/>
    <w:rsid w:val="00FC6F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3DF947-647B-424D-8200-730B0380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val="es-CO"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character" w:styleId="nfasis">
    <w:name w:val="Emphasis"/>
    <w:basedOn w:val="Fuentedeprrafopredeter"/>
    <w:uiPriority w:val="20"/>
    <w:qFormat/>
    <w:rsid w:val="007C16C2"/>
    <w:rPr>
      <w:i/>
      <w:iCs/>
    </w:rPr>
  </w:style>
  <w:style w:type="character" w:styleId="Textoennegrita">
    <w:name w:val="Strong"/>
    <w:basedOn w:val="Fuentedeprrafopredeter"/>
    <w:uiPriority w:val="22"/>
    <w:qFormat/>
    <w:rsid w:val="007C16C2"/>
    <w:rPr>
      <w:b/>
      <w:bCs/>
    </w:rPr>
  </w:style>
  <w:style w:type="paragraph" w:customStyle="1" w:styleId="Default">
    <w:name w:val="Default"/>
    <w:rsid w:val="007C16C2"/>
    <w:pPr>
      <w:autoSpaceDE w:val="0"/>
      <w:autoSpaceDN w:val="0"/>
      <w:adjustRightInd w:val="0"/>
    </w:pPr>
    <w:rPr>
      <w:rFonts w:ascii="Times New Roman" w:hAnsi="Times New Roman" w:cs="Times New Roman"/>
      <w:color w:val="000000"/>
      <w:lang w:val="es-CO"/>
    </w:rPr>
  </w:style>
  <w:style w:type="character" w:customStyle="1" w:styleId="hgkelc">
    <w:name w:val="hgkelc"/>
    <w:basedOn w:val="Fuentedeprrafopredeter"/>
    <w:rsid w:val="006A5A65"/>
  </w:style>
  <w:style w:type="paragraph" w:styleId="NormalWeb">
    <w:name w:val="Normal (Web)"/>
    <w:basedOn w:val="Normal"/>
    <w:uiPriority w:val="99"/>
    <w:unhideWhenUsed/>
    <w:rsid w:val="006151DE"/>
    <w:pPr>
      <w:spacing w:before="100" w:beforeAutospacing="1" w:after="100" w:afterAutospacing="1"/>
    </w:pPr>
    <w:rPr>
      <w:rFonts w:ascii="Times New Roman" w:eastAsia="Times New Roman" w:hAnsi="Times New Roman" w:cs="Times New Roman"/>
      <w:color w:val="auto"/>
      <w:lang w:val="es-CO"/>
    </w:rPr>
  </w:style>
  <w:style w:type="paragraph" w:styleId="Textonotapie">
    <w:name w:val="footnote text"/>
    <w:basedOn w:val="Normal"/>
    <w:link w:val="TextonotapieCar"/>
    <w:uiPriority w:val="99"/>
    <w:semiHidden/>
    <w:unhideWhenUsed/>
    <w:rsid w:val="0080249E"/>
    <w:rPr>
      <w:sz w:val="20"/>
      <w:szCs w:val="20"/>
    </w:rPr>
  </w:style>
  <w:style w:type="character" w:customStyle="1" w:styleId="TextonotapieCar">
    <w:name w:val="Texto nota pie Car"/>
    <w:basedOn w:val="Fuentedeprrafopredeter"/>
    <w:link w:val="Textonotapie"/>
    <w:uiPriority w:val="99"/>
    <w:semiHidden/>
    <w:rsid w:val="0080249E"/>
    <w:rPr>
      <w:color w:val="000000"/>
      <w:sz w:val="20"/>
      <w:szCs w:val="20"/>
    </w:rPr>
  </w:style>
  <w:style w:type="character" w:styleId="Refdenotaalpie">
    <w:name w:val="footnote reference"/>
    <w:basedOn w:val="Fuentedeprrafopredeter"/>
    <w:uiPriority w:val="99"/>
    <w:semiHidden/>
    <w:unhideWhenUsed/>
    <w:rsid w:val="0080249E"/>
    <w:rPr>
      <w:vertAlign w:val="superscript"/>
    </w:rPr>
  </w:style>
  <w:style w:type="character" w:customStyle="1" w:styleId="61acd">
    <w:name w:val="_61acd"/>
    <w:basedOn w:val="Fuentedeprrafopredeter"/>
    <w:rsid w:val="009C45B2"/>
  </w:style>
  <w:style w:type="paragraph" w:customStyle="1" w:styleId="font--secondary">
    <w:name w:val="font--secondary"/>
    <w:basedOn w:val="Normal"/>
    <w:rsid w:val="006C4FDC"/>
    <w:pPr>
      <w:spacing w:before="100" w:beforeAutospacing="1" w:after="100" w:afterAutospacing="1"/>
    </w:pPr>
    <w:rPr>
      <w:rFonts w:ascii="Times New Roman" w:eastAsia="Times New Roman" w:hAnsi="Times New Roman" w:cs="Times New Roman"/>
      <w:color w:val="auto"/>
      <w:lang w:val="es-CO"/>
    </w:rPr>
  </w:style>
  <w:style w:type="paragraph" w:customStyle="1" w:styleId="pa6">
    <w:name w:val="pa6"/>
    <w:basedOn w:val="Normal"/>
    <w:rsid w:val="0020244A"/>
    <w:pPr>
      <w:spacing w:before="100" w:beforeAutospacing="1" w:after="100" w:afterAutospacing="1"/>
    </w:pPr>
    <w:rPr>
      <w:rFonts w:ascii="Times New Roman" w:eastAsia="Times New Roman" w:hAnsi="Times New Roman" w:cs="Times New Roman"/>
      <w:color w:val="auto"/>
      <w:lang w:val="es-CO"/>
    </w:rPr>
  </w:style>
  <w:style w:type="paragraph" w:customStyle="1" w:styleId="default0">
    <w:name w:val="default"/>
    <w:basedOn w:val="Normal"/>
    <w:rsid w:val="0020244A"/>
    <w:pPr>
      <w:spacing w:before="100" w:beforeAutospacing="1" w:after="100" w:afterAutospacing="1"/>
    </w:pPr>
    <w:rPr>
      <w:rFonts w:ascii="Times New Roman" w:eastAsia="Times New Roman" w:hAnsi="Times New Roman" w:cs="Times New Roman"/>
      <w:color w:val="auto"/>
      <w:lang w:val="es-CO"/>
    </w:r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uncionpublica.gov.co/eva/gestornormativo/norma.php?i=3405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uncionpublica.gov.co/eva/gestornormativo/norma.php?i=3405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lcaldiabogota.gov.co/sisjur/normas/Norma1.jsp?i=240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cionpublica.gov.co/eva/gestornormativo/norma.php?i=34054" TargetMode="External"/><Relationship Id="rId5" Type="http://schemas.openxmlformats.org/officeDocument/2006/relationships/webSettings" Target="webSettings.xml"/><Relationship Id="rId15" Type="http://schemas.openxmlformats.org/officeDocument/2006/relationships/hyperlink" Target="https://www.alcaldiabogota.gov.co/sisjur/normas/Norma1.jsp?i=16474" TargetMode="External"/><Relationship Id="rId10" Type="http://schemas.openxmlformats.org/officeDocument/2006/relationships/hyperlink" Target="https://www.funcionpublica.gov.co/eva/gestornormativo/norma.php?i=1478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www.funcionpublica.gov.co/eva/gestornormativo/norma.php?i=3405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lespectador.com/responsabilidad-social/impacto-mujer/los-riesgos-de-ser-mujer-habitante-de-cal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H5CmsG5YHvocgBIplVbBZaOcLQ==">CgMxLjAyCWguMzBqMHpsbDIIaC5namRneHMyCmlkLjFmb2I5dGUyCmlkLjN6bnlzaDc4AHIhMVZmeWswaGZjSEthYl9PWWNkblhibWhBRzZkWlIxdXRL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3006</Words>
  <Characters>16536</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2025-02-11T23:47:00Z</dcterms:created>
  <dcterms:modified xsi:type="dcterms:W3CDTF">2025-02-11T23:51:00Z</dcterms:modified>
</cp:coreProperties>
</file>